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7F8E3" w14:textId="01543F5B" w:rsidR="00645544" w:rsidRPr="00201C6C" w:rsidRDefault="00597269" w:rsidP="009320FD">
      <w:pPr>
        <w:spacing w:after="0"/>
        <w:jc w:val="center"/>
        <w:rPr>
          <w:rFonts w:ascii="Calibri" w:hAnsi="Calibri" w:cs="Calibri"/>
          <w:b/>
          <w:sz w:val="32"/>
          <w:szCs w:val="32"/>
        </w:rPr>
      </w:pPr>
      <w:r w:rsidRPr="00201C6C">
        <w:rPr>
          <w:rFonts w:ascii="Calibri" w:hAnsi="Calibri" w:cs="Calibri"/>
          <w:b/>
          <w:sz w:val="32"/>
          <w:szCs w:val="32"/>
        </w:rPr>
        <w:t>T</w:t>
      </w:r>
      <w:r w:rsidR="000B3953" w:rsidRPr="00201C6C">
        <w:rPr>
          <w:rFonts w:ascii="Calibri" w:hAnsi="Calibri" w:cs="Calibri"/>
          <w:b/>
          <w:sz w:val="32"/>
          <w:szCs w:val="32"/>
        </w:rPr>
        <w:t xml:space="preserve">ERMS </w:t>
      </w:r>
      <w:r w:rsidRPr="00201C6C">
        <w:rPr>
          <w:rFonts w:ascii="Calibri" w:hAnsi="Calibri" w:cs="Calibri"/>
          <w:b/>
          <w:sz w:val="32"/>
          <w:szCs w:val="32"/>
        </w:rPr>
        <w:t>O</w:t>
      </w:r>
      <w:r w:rsidR="000B3953" w:rsidRPr="00201C6C">
        <w:rPr>
          <w:rFonts w:ascii="Calibri" w:hAnsi="Calibri" w:cs="Calibri"/>
          <w:b/>
          <w:sz w:val="32"/>
          <w:szCs w:val="32"/>
        </w:rPr>
        <w:t xml:space="preserve">F </w:t>
      </w:r>
      <w:r w:rsidRPr="00201C6C">
        <w:rPr>
          <w:rFonts w:ascii="Calibri" w:hAnsi="Calibri" w:cs="Calibri"/>
          <w:b/>
          <w:sz w:val="32"/>
          <w:szCs w:val="32"/>
        </w:rPr>
        <w:t>R</w:t>
      </w:r>
      <w:r w:rsidR="000B3953" w:rsidRPr="00201C6C">
        <w:rPr>
          <w:rFonts w:ascii="Calibri" w:hAnsi="Calibri" w:cs="Calibri"/>
          <w:b/>
          <w:sz w:val="32"/>
          <w:szCs w:val="32"/>
        </w:rPr>
        <w:t>EFERENCE</w:t>
      </w:r>
      <w:r w:rsidR="004C63B6" w:rsidRPr="00201C6C">
        <w:rPr>
          <w:rFonts w:ascii="Calibri" w:hAnsi="Calibri" w:cs="Calibri"/>
          <w:b/>
          <w:sz w:val="32"/>
          <w:szCs w:val="32"/>
        </w:rPr>
        <w:t xml:space="preserve"> (T</w:t>
      </w:r>
      <w:r w:rsidR="004C3B72" w:rsidRPr="00201C6C">
        <w:rPr>
          <w:rFonts w:ascii="Calibri" w:hAnsi="Calibri" w:cs="Calibri"/>
          <w:b/>
          <w:sz w:val="32"/>
          <w:szCs w:val="32"/>
        </w:rPr>
        <w:t>O</w:t>
      </w:r>
      <w:r w:rsidR="004C63B6" w:rsidRPr="00201C6C">
        <w:rPr>
          <w:rFonts w:ascii="Calibri" w:hAnsi="Calibri" w:cs="Calibri"/>
          <w:b/>
          <w:sz w:val="32"/>
          <w:szCs w:val="32"/>
        </w:rPr>
        <w:t>R</w:t>
      </w:r>
      <w:r w:rsidR="004C3B72" w:rsidRPr="00201C6C">
        <w:rPr>
          <w:rFonts w:ascii="Calibri" w:hAnsi="Calibri" w:cs="Calibri"/>
          <w:b/>
          <w:sz w:val="32"/>
          <w:szCs w:val="32"/>
        </w:rPr>
        <w:t>s</w:t>
      </w:r>
      <w:r w:rsidR="004C63B6" w:rsidRPr="00201C6C">
        <w:rPr>
          <w:rFonts w:ascii="Calibri" w:hAnsi="Calibri" w:cs="Calibri"/>
          <w:b/>
          <w:sz w:val="32"/>
          <w:szCs w:val="32"/>
        </w:rPr>
        <w:t>)</w:t>
      </w:r>
      <w:r w:rsidRPr="00201C6C">
        <w:rPr>
          <w:rFonts w:ascii="Calibri" w:hAnsi="Calibri" w:cs="Calibri"/>
          <w:b/>
          <w:sz w:val="32"/>
          <w:szCs w:val="32"/>
        </w:rPr>
        <w:t xml:space="preserve"> </w:t>
      </w:r>
    </w:p>
    <w:p w14:paraId="4823DA95" w14:textId="77777777" w:rsidR="00A523CB" w:rsidRPr="00201C6C" w:rsidRDefault="00A523CB" w:rsidP="009320FD">
      <w:pPr>
        <w:spacing w:after="0"/>
        <w:jc w:val="both"/>
        <w:rPr>
          <w:rFonts w:ascii="Calibri" w:hAnsi="Calibri" w:cs="Calibri"/>
          <w:b/>
          <w:sz w:val="32"/>
          <w:szCs w:val="32"/>
        </w:rPr>
      </w:pPr>
    </w:p>
    <w:tbl>
      <w:tblPr>
        <w:tblW w:w="10030"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6D21B5" w:rsidRPr="00201C6C" w14:paraId="1B7C583C" w14:textId="77777777" w:rsidTr="00201C6C">
        <w:trPr>
          <w:trHeight w:val="7176"/>
        </w:trPr>
        <w:tc>
          <w:tcPr>
            <w:tcW w:w="10030" w:type="dxa"/>
          </w:tcPr>
          <w:p w14:paraId="28196357" w14:textId="77777777" w:rsidR="007123F2" w:rsidRDefault="007123F2" w:rsidP="000B14D3">
            <w:pPr>
              <w:pStyle w:val="ListParagraph"/>
              <w:ind w:left="617"/>
              <w:jc w:val="both"/>
              <w:rPr>
                <w:rFonts w:ascii="Calibri" w:hAnsi="Calibri" w:cs="Calibri"/>
                <w:b/>
                <w:bCs/>
                <w:sz w:val="24"/>
                <w:szCs w:val="24"/>
              </w:rPr>
            </w:pPr>
          </w:p>
          <w:p w14:paraId="5417F016" w14:textId="5085624F" w:rsidR="004C3B72" w:rsidRPr="00201C6C" w:rsidRDefault="00A50610" w:rsidP="00C75DE3">
            <w:pPr>
              <w:pStyle w:val="ListParagraph"/>
              <w:numPr>
                <w:ilvl w:val="0"/>
                <w:numId w:val="1"/>
              </w:numPr>
              <w:ind w:left="617" w:hanging="617"/>
              <w:jc w:val="both"/>
              <w:rPr>
                <w:rFonts w:ascii="Calibri" w:hAnsi="Calibri" w:cs="Calibri"/>
                <w:b/>
                <w:bCs/>
                <w:sz w:val="24"/>
                <w:szCs w:val="24"/>
              </w:rPr>
            </w:pPr>
            <w:r w:rsidRPr="00201C6C">
              <w:rPr>
                <w:rFonts w:ascii="Calibri" w:hAnsi="Calibri" w:cs="Calibri"/>
                <w:b/>
                <w:bCs/>
                <w:sz w:val="24"/>
                <w:szCs w:val="24"/>
              </w:rPr>
              <w:t>Assignment Title</w:t>
            </w:r>
          </w:p>
          <w:p w14:paraId="2724D2CC" w14:textId="477720C9" w:rsidR="0078491B" w:rsidRPr="00201C6C" w:rsidRDefault="0078491B" w:rsidP="004C3B72">
            <w:pPr>
              <w:pStyle w:val="ListParagraph"/>
              <w:ind w:left="617"/>
              <w:jc w:val="both"/>
              <w:rPr>
                <w:rFonts w:ascii="Calibri" w:hAnsi="Calibri" w:cs="Calibri"/>
                <w:sz w:val="24"/>
                <w:szCs w:val="24"/>
              </w:rPr>
            </w:pPr>
            <w:r w:rsidRPr="00201C6C">
              <w:rPr>
                <w:rFonts w:ascii="Calibri" w:hAnsi="Calibri" w:cs="Calibri"/>
                <w:sz w:val="24"/>
                <w:szCs w:val="24"/>
              </w:rPr>
              <w:t>G</w:t>
            </w:r>
            <w:r w:rsidR="007D5094" w:rsidRPr="00201C6C">
              <w:rPr>
                <w:rFonts w:ascii="Calibri" w:hAnsi="Calibri" w:cs="Calibri"/>
                <w:sz w:val="24"/>
                <w:szCs w:val="24"/>
              </w:rPr>
              <w:t xml:space="preserve">ender </w:t>
            </w:r>
            <w:r w:rsidR="000D24E8" w:rsidRPr="00201C6C">
              <w:rPr>
                <w:rFonts w:ascii="Calibri" w:hAnsi="Calibri" w:cs="Calibri"/>
                <w:sz w:val="24"/>
                <w:szCs w:val="24"/>
              </w:rPr>
              <w:t>mainstreaming training for</w:t>
            </w:r>
            <w:r w:rsidR="007D5094" w:rsidRPr="00201C6C">
              <w:rPr>
                <w:rFonts w:ascii="Calibri" w:hAnsi="Calibri" w:cs="Calibri"/>
                <w:sz w:val="24"/>
                <w:szCs w:val="24"/>
              </w:rPr>
              <w:t xml:space="preserve"> the Infrastructure Development Bank of Zimbabwe</w:t>
            </w:r>
            <w:r w:rsidR="007123F2">
              <w:rPr>
                <w:rFonts w:ascii="Calibri" w:hAnsi="Calibri" w:cs="Calibri"/>
                <w:sz w:val="24"/>
                <w:szCs w:val="24"/>
              </w:rPr>
              <w:t xml:space="preserve"> (“IDBZ”/“the Bank”)</w:t>
            </w:r>
            <w:r w:rsidR="000D24E8" w:rsidRPr="00201C6C">
              <w:rPr>
                <w:rFonts w:ascii="Calibri" w:hAnsi="Calibri" w:cs="Calibri"/>
                <w:sz w:val="24"/>
                <w:szCs w:val="24"/>
              </w:rPr>
              <w:t xml:space="preserve"> employees</w:t>
            </w:r>
            <w:r w:rsidR="0066576B" w:rsidRPr="00201C6C">
              <w:rPr>
                <w:rFonts w:ascii="Calibri" w:hAnsi="Calibri" w:cs="Calibri"/>
                <w:sz w:val="24"/>
                <w:szCs w:val="24"/>
              </w:rPr>
              <w:t>.</w:t>
            </w:r>
          </w:p>
          <w:p w14:paraId="438AAFFA" w14:textId="77777777" w:rsidR="006B1A73" w:rsidRPr="00201C6C" w:rsidRDefault="006B1A73" w:rsidP="009320FD">
            <w:pPr>
              <w:pStyle w:val="ListParagraph"/>
              <w:spacing w:after="0"/>
              <w:jc w:val="both"/>
              <w:rPr>
                <w:rFonts w:ascii="Calibri" w:hAnsi="Calibri" w:cs="Calibri"/>
                <w:sz w:val="24"/>
                <w:szCs w:val="24"/>
              </w:rPr>
            </w:pPr>
          </w:p>
          <w:p w14:paraId="0ECDF460" w14:textId="77777777" w:rsidR="00AE0B1B" w:rsidRPr="00201C6C" w:rsidRDefault="00D204D9" w:rsidP="00C75DE3">
            <w:pPr>
              <w:pStyle w:val="ListParagraph"/>
              <w:numPr>
                <w:ilvl w:val="0"/>
                <w:numId w:val="1"/>
              </w:numPr>
              <w:ind w:left="617" w:hanging="617"/>
              <w:jc w:val="both"/>
              <w:rPr>
                <w:rFonts w:ascii="Calibri" w:hAnsi="Calibri" w:cs="Calibri"/>
                <w:sz w:val="24"/>
                <w:szCs w:val="24"/>
              </w:rPr>
            </w:pPr>
            <w:r w:rsidRPr="00201C6C">
              <w:rPr>
                <w:rFonts w:ascii="Calibri" w:hAnsi="Calibri" w:cs="Calibri"/>
                <w:b/>
                <w:bCs/>
                <w:sz w:val="24"/>
                <w:szCs w:val="24"/>
              </w:rPr>
              <w:t>About IDBZ</w:t>
            </w:r>
          </w:p>
          <w:p w14:paraId="3AE5EA10" w14:textId="1A8CB8BA" w:rsidR="00D204D9" w:rsidRPr="00201C6C" w:rsidRDefault="00D204D9" w:rsidP="00C75DE3">
            <w:pPr>
              <w:pStyle w:val="ListParagraph"/>
              <w:numPr>
                <w:ilvl w:val="1"/>
                <w:numId w:val="3"/>
              </w:numPr>
              <w:ind w:left="617" w:hanging="617"/>
              <w:jc w:val="both"/>
              <w:rPr>
                <w:rFonts w:ascii="Calibri" w:hAnsi="Calibri" w:cs="Calibri"/>
                <w:sz w:val="24"/>
                <w:szCs w:val="24"/>
              </w:rPr>
            </w:pPr>
            <w:r w:rsidRPr="00201C6C">
              <w:rPr>
                <w:rFonts w:ascii="Calibri" w:hAnsi="Calibri" w:cs="Calibri"/>
                <w:sz w:val="24"/>
                <w:szCs w:val="24"/>
              </w:rPr>
              <w:t xml:space="preserve">The </w:t>
            </w:r>
            <w:r w:rsidR="007123F2">
              <w:rPr>
                <w:rFonts w:ascii="Calibri" w:hAnsi="Calibri" w:cs="Calibri"/>
                <w:sz w:val="24"/>
                <w:szCs w:val="24"/>
              </w:rPr>
              <w:t>IDBZ</w:t>
            </w:r>
            <w:r w:rsidRPr="00201C6C">
              <w:rPr>
                <w:rFonts w:ascii="Calibri" w:hAnsi="Calibri" w:cs="Calibri"/>
                <w:sz w:val="24"/>
                <w:szCs w:val="24"/>
              </w:rPr>
              <w:t xml:space="preserve"> is a national Development Finance Institution (DFI) with a mandate on infrastructure development and financing. The IDBZ was established by the Government of Zimbabwe in 2005 through an Act of Parliament, the Infrastructure Development Bank of Zimbabwe Act </w:t>
            </w:r>
            <w:r w:rsidR="004C3B72" w:rsidRPr="00201C6C">
              <w:rPr>
                <w:rFonts w:ascii="Calibri" w:hAnsi="Calibri" w:cs="Calibri"/>
                <w:sz w:val="24"/>
                <w:szCs w:val="24"/>
              </w:rPr>
              <w:t>[</w:t>
            </w:r>
            <w:r w:rsidRPr="00201C6C">
              <w:rPr>
                <w:rFonts w:ascii="Calibri" w:hAnsi="Calibri" w:cs="Calibri"/>
                <w:i/>
                <w:iCs/>
                <w:sz w:val="24"/>
                <w:szCs w:val="24"/>
              </w:rPr>
              <w:t>Chapter 24:14</w:t>
            </w:r>
            <w:r w:rsidR="004C3B72" w:rsidRPr="00201C6C">
              <w:rPr>
                <w:rFonts w:ascii="Calibri" w:hAnsi="Calibri" w:cs="Calibri"/>
                <w:sz w:val="24"/>
                <w:szCs w:val="24"/>
              </w:rPr>
              <w:t>]</w:t>
            </w:r>
            <w:r w:rsidRPr="00201C6C">
              <w:rPr>
                <w:rFonts w:ascii="Calibri" w:hAnsi="Calibri" w:cs="Calibri"/>
                <w:sz w:val="24"/>
                <w:szCs w:val="24"/>
              </w:rPr>
              <w:t>, as a successor institution to the then Zimbabwe Development Bank. The IDBZ is at the centre of national efforts to accelerate infrastructure development as an anchor for sustainable and inclusive socio-economic transformation in Zimbabwe</w:t>
            </w:r>
            <w:r w:rsidR="00023A69" w:rsidRPr="00201C6C">
              <w:rPr>
                <w:rFonts w:ascii="Calibri" w:hAnsi="Calibri" w:cs="Calibri"/>
                <w:sz w:val="24"/>
                <w:szCs w:val="24"/>
              </w:rPr>
              <w:t>. The Bank aims to promote gender equality and women’s empowerment within its operations and in projects developed, financed and implemented by the Bank.</w:t>
            </w:r>
          </w:p>
          <w:p w14:paraId="636FCFA0" w14:textId="77777777" w:rsidR="004C3B72" w:rsidRPr="00201C6C" w:rsidRDefault="004C3B72" w:rsidP="004C3B72">
            <w:pPr>
              <w:pStyle w:val="ListParagraph"/>
              <w:ind w:left="475"/>
              <w:jc w:val="both"/>
              <w:rPr>
                <w:rFonts w:ascii="Calibri" w:hAnsi="Calibri" w:cs="Calibri"/>
                <w:sz w:val="24"/>
                <w:szCs w:val="24"/>
              </w:rPr>
            </w:pPr>
          </w:p>
          <w:p w14:paraId="42AD5BC6" w14:textId="30A8AD1A" w:rsidR="00D204D9" w:rsidRPr="00201C6C" w:rsidRDefault="00D204D9" w:rsidP="00C75DE3">
            <w:pPr>
              <w:pStyle w:val="ListParagraph"/>
              <w:numPr>
                <w:ilvl w:val="1"/>
                <w:numId w:val="3"/>
              </w:numPr>
              <w:ind w:left="617" w:hanging="617"/>
              <w:jc w:val="both"/>
              <w:rPr>
                <w:rFonts w:ascii="Calibri" w:hAnsi="Calibri" w:cs="Calibri"/>
                <w:sz w:val="24"/>
                <w:szCs w:val="24"/>
              </w:rPr>
            </w:pPr>
            <w:r w:rsidRPr="00201C6C">
              <w:rPr>
                <w:rFonts w:ascii="Calibri" w:hAnsi="Calibri" w:cs="Calibri"/>
                <w:sz w:val="24"/>
                <w:szCs w:val="24"/>
              </w:rPr>
              <w:t>Guided by the Transitional Stabilization Programme</w:t>
            </w:r>
            <w:r w:rsidR="004C3B72" w:rsidRPr="00201C6C">
              <w:rPr>
                <w:rFonts w:ascii="Calibri" w:hAnsi="Calibri" w:cs="Calibri"/>
                <w:sz w:val="24"/>
                <w:szCs w:val="24"/>
              </w:rPr>
              <w:t xml:space="preserve"> (“TSP”)</w:t>
            </w:r>
            <w:r w:rsidRPr="00201C6C">
              <w:rPr>
                <w:rFonts w:ascii="Calibri" w:hAnsi="Calibri" w:cs="Calibri"/>
                <w:sz w:val="24"/>
                <w:szCs w:val="24"/>
              </w:rPr>
              <w:t>, Vision 2030 and the Sustainable Development Goals</w:t>
            </w:r>
            <w:r w:rsidR="004C3B72" w:rsidRPr="00201C6C">
              <w:rPr>
                <w:rFonts w:ascii="Calibri" w:hAnsi="Calibri" w:cs="Calibri"/>
                <w:sz w:val="24"/>
                <w:szCs w:val="24"/>
              </w:rPr>
              <w:t xml:space="preserve"> (“SDGs”)</w:t>
            </w:r>
            <w:r w:rsidRPr="00201C6C">
              <w:rPr>
                <w:rFonts w:ascii="Calibri" w:hAnsi="Calibri" w:cs="Calibri"/>
                <w:sz w:val="24"/>
                <w:szCs w:val="24"/>
              </w:rPr>
              <w:t>, the Bank primarily focuses on the following high impact sectors which are considered enablers for sustainable and inclusive socio-economic development:</w:t>
            </w:r>
          </w:p>
          <w:p w14:paraId="4E4898AE" w14:textId="77777777" w:rsidR="004C3B72" w:rsidRPr="00201C6C" w:rsidRDefault="004C3B72" w:rsidP="004C3B72">
            <w:pPr>
              <w:pStyle w:val="ListParagraph"/>
              <w:spacing w:after="0"/>
              <w:ind w:left="567"/>
              <w:rPr>
                <w:rFonts w:ascii="Calibri" w:hAnsi="Calibri" w:cs="Calibri"/>
                <w:sz w:val="24"/>
                <w:szCs w:val="24"/>
              </w:rPr>
            </w:pPr>
          </w:p>
          <w:p w14:paraId="51CEDDFF" w14:textId="1971240B" w:rsidR="004C3B72" w:rsidRPr="00201C6C" w:rsidRDefault="004C3B72" w:rsidP="00C75DE3">
            <w:pPr>
              <w:pStyle w:val="ListParagraph"/>
              <w:numPr>
                <w:ilvl w:val="0"/>
                <w:numId w:val="2"/>
              </w:numPr>
              <w:spacing w:after="0"/>
              <w:ind w:left="1042" w:hanging="425"/>
              <w:rPr>
                <w:rFonts w:ascii="Calibri" w:hAnsi="Calibri" w:cs="Calibri"/>
                <w:sz w:val="24"/>
                <w:szCs w:val="24"/>
              </w:rPr>
            </w:pPr>
            <w:r w:rsidRPr="00201C6C">
              <w:rPr>
                <w:rFonts w:ascii="Calibri" w:hAnsi="Calibri" w:cs="Calibri"/>
                <w:sz w:val="24"/>
                <w:szCs w:val="24"/>
              </w:rPr>
              <w:t>Water and Sanitation (</w:t>
            </w:r>
            <w:r w:rsidRPr="00201C6C">
              <w:rPr>
                <w:rFonts w:ascii="Calibri" w:hAnsi="Calibri" w:cs="Calibri"/>
                <w:i/>
                <w:iCs/>
                <w:sz w:val="24"/>
                <w:szCs w:val="24"/>
              </w:rPr>
              <w:t>dams, water pipelines, water treatment plants, municipal water and sewer projects</w:t>
            </w:r>
            <w:r w:rsidRPr="00201C6C">
              <w:rPr>
                <w:rFonts w:ascii="Calibri" w:hAnsi="Calibri" w:cs="Calibri"/>
                <w:sz w:val="24"/>
                <w:szCs w:val="24"/>
              </w:rPr>
              <w:t>)</w:t>
            </w:r>
            <w:r w:rsidR="0031517B" w:rsidRPr="00201C6C">
              <w:rPr>
                <w:rFonts w:ascii="Calibri" w:hAnsi="Calibri" w:cs="Calibri"/>
                <w:sz w:val="24"/>
                <w:szCs w:val="24"/>
              </w:rPr>
              <w:t>;</w:t>
            </w:r>
          </w:p>
          <w:p w14:paraId="2480878D" w14:textId="2E2FB859" w:rsidR="0031517B" w:rsidRPr="00201C6C" w:rsidRDefault="0031517B" w:rsidP="00C75DE3">
            <w:pPr>
              <w:pStyle w:val="ListParagraph"/>
              <w:numPr>
                <w:ilvl w:val="0"/>
                <w:numId w:val="2"/>
              </w:numPr>
              <w:spacing w:after="0"/>
              <w:ind w:left="1042" w:hanging="425"/>
              <w:rPr>
                <w:rFonts w:ascii="Calibri" w:hAnsi="Calibri" w:cs="Calibri"/>
                <w:sz w:val="24"/>
                <w:szCs w:val="24"/>
              </w:rPr>
            </w:pPr>
            <w:r w:rsidRPr="00201C6C">
              <w:rPr>
                <w:rFonts w:ascii="Calibri" w:hAnsi="Calibri" w:cs="Calibri"/>
                <w:sz w:val="24"/>
                <w:szCs w:val="24"/>
              </w:rPr>
              <w:t>Irrigation Infrastructure;</w:t>
            </w:r>
          </w:p>
          <w:p w14:paraId="77BFFA62" w14:textId="14355936" w:rsidR="0031517B" w:rsidRPr="00201C6C" w:rsidRDefault="0031517B" w:rsidP="00C75DE3">
            <w:pPr>
              <w:pStyle w:val="ListParagraph"/>
              <w:numPr>
                <w:ilvl w:val="0"/>
                <w:numId w:val="2"/>
              </w:numPr>
              <w:spacing w:after="0"/>
              <w:ind w:left="1042" w:hanging="425"/>
              <w:rPr>
                <w:rFonts w:ascii="Calibri" w:hAnsi="Calibri" w:cs="Calibri"/>
                <w:sz w:val="24"/>
                <w:szCs w:val="24"/>
              </w:rPr>
            </w:pPr>
            <w:r w:rsidRPr="00201C6C">
              <w:rPr>
                <w:rFonts w:ascii="Calibri" w:hAnsi="Calibri" w:cs="Calibri"/>
                <w:sz w:val="24"/>
                <w:szCs w:val="24"/>
              </w:rPr>
              <w:t>Transport (</w:t>
            </w:r>
            <w:r w:rsidRPr="00201C6C">
              <w:rPr>
                <w:rFonts w:ascii="Calibri" w:hAnsi="Calibri" w:cs="Calibri"/>
                <w:i/>
                <w:iCs/>
                <w:sz w:val="24"/>
                <w:szCs w:val="24"/>
              </w:rPr>
              <w:t>roads, airports, railways, border posts</w:t>
            </w:r>
            <w:r w:rsidRPr="00201C6C">
              <w:rPr>
                <w:rFonts w:ascii="Calibri" w:hAnsi="Calibri" w:cs="Calibri"/>
                <w:sz w:val="24"/>
                <w:szCs w:val="24"/>
              </w:rPr>
              <w:t xml:space="preserve">); </w:t>
            </w:r>
          </w:p>
          <w:p w14:paraId="0FA691A0" w14:textId="1F87A981" w:rsidR="00D204D9" w:rsidRPr="00201C6C" w:rsidRDefault="00D204D9" w:rsidP="00C75DE3">
            <w:pPr>
              <w:pStyle w:val="ListParagraph"/>
              <w:numPr>
                <w:ilvl w:val="0"/>
                <w:numId w:val="2"/>
              </w:numPr>
              <w:spacing w:after="0"/>
              <w:ind w:left="1042" w:hanging="425"/>
              <w:rPr>
                <w:rFonts w:ascii="Calibri" w:hAnsi="Calibri" w:cs="Calibri"/>
                <w:sz w:val="24"/>
                <w:szCs w:val="24"/>
              </w:rPr>
            </w:pPr>
            <w:r w:rsidRPr="00201C6C">
              <w:rPr>
                <w:rFonts w:ascii="Calibri" w:hAnsi="Calibri" w:cs="Calibri"/>
                <w:sz w:val="24"/>
                <w:szCs w:val="24"/>
              </w:rPr>
              <w:t>Energy (</w:t>
            </w:r>
            <w:r w:rsidRPr="00201C6C">
              <w:rPr>
                <w:rFonts w:ascii="Calibri" w:hAnsi="Calibri" w:cs="Calibri"/>
                <w:i/>
                <w:iCs/>
                <w:sz w:val="24"/>
                <w:szCs w:val="24"/>
              </w:rPr>
              <w:t>power plants, transmission and distribution grid networks, etc</w:t>
            </w:r>
            <w:r w:rsidRPr="00201C6C">
              <w:rPr>
                <w:rFonts w:ascii="Calibri" w:hAnsi="Calibri" w:cs="Calibri"/>
                <w:sz w:val="24"/>
                <w:szCs w:val="24"/>
              </w:rPr>
              <w:t>)</w:t>
            </w:r>
            <w:r w:rsidR="000D24E8" w:rsidRPr="00201C6C">
              <w:rPr>
                <w:rFonts w:ascii="Calibri" w:hAnsi="Calibri" w:cs="Calibri"/>
                <w:sz w:val="24"/>
                <w:szCs w:val="24"/>
              </w:rPr>
              <w:t>; and</w:t>
            </w:r>
          </w:p>
          <w:p w14:paraId="327E8FBB" w14:textId="4AA5C07A" w:rsidR="000D24E8" w:rsidRPr="00201C6C" w:rsidRDefault="000D24E8" w:rsidP="00C75DE3">
            <w:pPr>
              <w:pStyle w:val="ListParagraph"/>
              <w:numPr>
                <w:ilvl w:val="0"/>
                <w:numId w:val="2"/>
              </w:numPr>
              <w:spacing w:after="0"/>
              <w:ind w:left="1042" w:hanging="425"/>
              <w:rPr>
                <w:rFonts w:ascii="Calibri" w:hAnsi="Calibri" w:cs="Calibri"/>
                <w:sz w:val="24"/>
                <w:szCs w:val="24"/>
              </w:rPr>
            </w:pPr>
            <w:r w:rsidRPr="00201C6C">
              <w:rPr>
                <w:rFonts w:ascii="Calibri" w:hAnsi="Calibri" w:cs="Calibri"/>
                <w:sz w:val="24"/>
                <w:szCs w:val="24"/>
              </w:rPr>
              <w:t>Housing (on-site and off-site infrastructure, university and tertiary institutions accommodation etc)</w:t>
            </w:r>
          </w:p>
          <w:p w14:paraId="5DE94F17" w14:textId="323C0AC7" w:rsidR="0031517B" w:rsidRPr="00201C6C" w:rsidRDefault="0031517B" w:rsidP="0031517B">
            <w:pPr>
              <w:spacing w:after="0"/>
              <w:rPr>
                <w:rFonts w:ascii="Calibri" w:hAnsi="Calibri" w:cs="Calibri"/>
                <w:sz w:val="24"/>
                <w:szCs w:val="24"/>
              </w:rPr>
            </w:pPr>
          </w:p>
          <w:p w14:paraId="72C7F2DD" w14:textId="45A8079C" w:rsidR="00A50610" w:rsidRPr="00201C6C" w:rsidRDefault="0031517B" w:rsidP="00C75DE3">
            <w:pPr>
              <w:pStyle w:val="ListParagraph"/>
              <w:numPr>
                <w:ilvl w:val="1"/>
                <w:numId w:val="3"/>
              </w:numPr>
              <w:ind w:left="617" w:hanging="617"/>
              <w:jc w:val="both"/>
              <w:rPr>
                <w:rFonts w:ascii="Calibri" w:hAnsi="Calibri" w:cs="Calibri"/>
                <w:sz w:val="24"/>
                <w:szCs w:val="24"/>
              </w:rPr>
            </w:pPr>
            <w:r w:rsidRPr="00201C6C">
              <w:rPr>
                <w:rFonts w:ascii="Calibri" w:hAnsi="Calibri" w:cs="Calibri"/>
                <w:sz w:val="24"/>
                <w:szCs w:val="24"/>
              </w:rPr>
              <w:t xml:space="preserve">The Bank’s secondary sectors of focus include </w:t>
            </w:r>
            <w:r w:rsidR="000D24E8" w:rsidRPr="00201C6C">
              <w:rPr>
                <w:rFonts w:ascii="Calibri" w:hAnsi="Calibri" w:cs="Calibri"/>
                <w:sz w:val="24"/>
                <w:szCs w:val="24"/>
              </w:rPr>
              <w:t xml:space="preserve">education facilities, health facilities and tourism infrastructure. </w:t>
            </w:r>
            <w:r w:rsidRPr="00201C6C">
              <w:rPr>
                <w:rFonts w:ascii="Calibri" w:hAnsi="Calibri" w:cs="Calibri"/>
                <w:sz w:val="24"/>
                <w:szCs w:val="24"/>
              </w:rPr>
              <w:t>Information and Communications Technology (</w:t>
            </w:r>
            <w:r w:rsidR="00D204D9" w:rsidRPr="00201C6C">
              <w:rPr>
                <w:rFonts w:ascii="Calibri" w:hAnsi="Calibri" w:cs="Calibri"/>
                <w:sz w:val="24"/>
                <w:szCs w:val="24"/>
              </w:rPr>
              <w:t>ICT</w:t>
            </w:r>
            <w:r w:rsidRPr="00201C6C">
              <w:rPr>
                <w:rFonts w:ascii="Calibri" w:hAnsi="Calibri" w:cs="Calibri"/>
                <w:sz w:val="24"/>
                <w:szCs w:val="24"/>
              </w:rPr>
              <w:t>) is considered a cross-cutting issue across the Bank’s areas of intervention.</w:t>
            </w:r>
          </w:p>
          <w:p w14:paraId="7211B425" w14:textId="77777777" w:rsidR="000D24E8" w:rsidRPr="00201C6C" w:rsidRDefault="000D24E8" w:rsidP="0031517B">
            <w:pPr>
              <w:pStyle w:val="ListParagraph"/>
              <w:ind w:left="617"/>
              <w:jc w:val="both"/>
              <w:rPr>
                <w:rFonts w:ascii="Calibri" w:hAnsi="Calibri" w:cs="Calibri"/>
                <w:sz w:val="24"/>
                <w:szCs w:val="24"/>
              </w:rPr>
            </w:pPr>
          </w:p>
          <w:p w14:paraId="7BBD0C88" w14:textId="77777777" w:rsidR="006D21B5" w:rsidRPr="00201C6C" w:rsidRDefault="006D21B5" w:rsidP="00C75DE3">
            <w:pPr>
              <w:pStyle w:val="ListParagraph"/>
              <w:numPr>
                <w:ilvl w:val="0"/>
                <w:numId w:val="1"/>
              </w:numPr>
              <w:ind w:left="617" w:hanging="617"/>
              <w:jc w:val="both"/>
              <w:rPr>
                <w:rFonts w:ascii="Calibri" w:hAnsi="Calibri" w:cs="Calibri"/>
                <w:b/>
                <w:sz w:val="24"/>
                <w:szCs w:val="24"/>
              </w:rPr>
            </w:pPr>
            <w:r w:rsidRPr="00201C6C">
              <w:rPr>
                <w:rFonts w:ascii="Calibri" w:hAnsi="Calibri" w:cs="Calibri"/>
                <w:b/>
                <w:bCs/>
                <w:sz w:val="24"/>
                <w:szCs w:val="24"/>
              </w:rPr>
              <w:t>Background</w:t>
            </w:r>
            <w:r w:rsidRPr="00201C6C">
              <w:rPr>
                <w:rFonts w:ascii="Calibri" w:hAnsi="Calibri" w:cs="Calibri"/>
                <w:b/>
                <w:sz w:val="24"/>
                <w:szCs w:val="24"/>
              </w:rPr>
              <w:t xml:space="preserve"> and rationale (Justification)</w:t>
            </w:r>
          </w:p>
          <w:p w14:paraId="3E653B73" w14:textId="77777777" w:rsidR="00B618C4" w:rsidRPr="00201C6C" w:rsidRDefault="00560D23" w:rsidP="00C75DE3">
            <w:pPr>
              <w:pStyle w:val="ListParagraph"/>
              <w:numPr>
                <w:ilvl w:val="1"/>
                <w:numId w:val="4"/>
              </w:numPr>
              <w:ind w:left="617" w:hanging="617"/>
              <w:jc w:val="both"/>
              <w:rPr>
                <w:rFonts w:ascii="Calibri" w:hAnsi="Calibri" w:cs="Calibri"/>
                <w:sz w:val="24"/>
                <w:szCs w:val="24"/>
              </w:rPr>
            </w:pPr>
            <w:r w:rsidRPr="00201C6C">
              <w:rPr>
                <w:rFonts w:ascii="Calibri" w:hAnsi="Calibri" w:cs="Calibri"/>
                <w:sz w:val="24"/>
                <w:szCs w:val="24"/>
              </w:rPr>
              <w:t>Gender is one of the key cross</w:t>
            </w:r>
            <w:r w:rsidR="0040590A" w:rsidRPr="00201C6C">
              <w:rPr>
                <w:rFonts w:ascii="Calibri" w:hAnsi="Calibri" w:cs="Calibri"/>
                <w:sz w:val="24"/>
                <w:szCs w:val="24"/>
              </w:rPr>
              <w:t>-</w:t>
            </w:r>
            <w:r w:rsidRPr="00201C6C">
              <w:rPr>
                <w:rFonts w:ascii="Calibri" w:hAnsi="Calibri" w:cs="Calibri"/>
                <w:sz w:val="24"/>
                <w:szCs w:val="24"/>
              </w:rPr>
              <w:t>cutting issues that affect response to infrastructure development and sustainable development</w:t>
            </w:r>
            <w:r w:rsidR="0040590A" w:rsidRPr="00201C6C">
              <w:rPr>
                <w:rFonts w:ascii="Calibri" w:hAnsi="Calibri" w:cs="Calibri"/>
                <w:sz w:val="24"/>
                <w:szCs w:val="24"/>
              </w:rPr>
              <w:t>,</w:t>
            </w:r>
            <w:r w:rsidR="005B0C1D" w:rsidRPr="00201C6C">
              <w:rPr>
                <w:rFonts w:ascii="Calibri" w:hAnsi="Calibri" w:cs="Calibri"/>
                <w:sz w:val="24"/>
                <w:szCs w:val="24"/>
              </w:rPr>
              <w:t xml:space="preserve"> and women and girls have been viewed as victims and equally vulnerable</w:t>
            </w:r>
            <w:r w:rsidRPr="00201C6C">
              <w:rPr>
                <w:rFonts w:ascii="Calibri" w:hAnsi="Calibri" w:cs="Calibri"/>
                <w:sz w:val="24"/>
                <w:szCs w:val="24"/>
              </w:rPr>
              <w:t xml:space="preserve">. </w:t>
            </w:r>
          </w:p>
          <w:p w14:paraId="3BF559E5" w14:textId="2397874C" w:rsidR="00201A84" w:rsidRPr="00201C6C" w:rsidRDefault="00560D23" w:rsidP="00C75DE3">
            <w:pPr>
              <w:pStyle w:val="ListParagraph"/>
              <w:numPr>
                <w:ilvl w:val="1"/>
                <w:numId w:val="4"/>
              </w:numPr>
              <w:ind w:left="617" w:hanging="617"/>
              <w:jc w:val="both"/>
              <w:rPr>
                <w:rFonts w:ascii="Calibri" w:hAnsi="Calibri" w:cs="Calibri"/>
                <w:sz w:val="24"/>
                <w:szCs w:val="24"/>
              </w:rPr>
            </w:pPr>
            <w:r w:rsidRPr="00201C6C">
              <w:rPr>
                <w:rFonts w:ascii="Calibri" w:hAnsi="Calibri" w:cs="Calibri"/>
                <w:sz w:val="24"/>
                <w:szCs w:val="24"/>
              </w:rPr>
              <w:lastRenderedPageBreak/>
              <w:t>Therefore, Gender responsiveness is very critical with regards to the global quest for sustainable</w:t>
            </w:r>
            <w:r w:rsidR="0040590A" w:rsidRPr="00201C6C">
              <w:rPr>
                <w:rFonts w:ascii="Calibri" w:hAnsi="Calibri" w:cs="Calibri"/>
                <w:sz w:val="24"/>
                <w:szCs w:val="24"/>
              </w:rPr>
              <w:t>, equitable</w:t>
            </w:r>
            <w:r w:rsidRPr="00201C6C">
              <w:rPr>
                <w:rFonts w:ascii="Calibri" w:hAnsi="Calibri" w:cs="Calibri"/>
                <w:sz w:val="24"/>
                <w:szCs w:val="24"/>
              </w:rPr>
              <w:t xml:space="preserve"> and inclusive development in the context of resilient and inclusive infrastructure, hence the</w:t>
            </w:r>
            <w:r w:rsidRPr="00201C6C">
              <w:rPr>
                <w:rFonts w:ascii="Calibri" w:hAnsi="Calibri" w:cs="Calibri"/>
                <w:color w:val="000000"/>
                <w:sz w:val="24"/>
                <w:szCs w:val="24"/>
              </w:rPr>
              <w:t xml:space="preserve"> </w:t>
            </w:r>
            <w:r w:rsidRPr="00201C6C">
              <w:rPr>
                <w:rFonts w:ascii="Calibri" w:hAnsi="Calibri" w:cs="Calibri"/>
                <w:sz w:val="24"/>
                <w:szCs w:val="24"/>
              </w:rPr>
              <w:t xml:space="preserve">need to mainstream gender in all the </w:t>
            </w:r>
            <w:r w:rsidR="00B618C4" w:rsidRPr="00201C6C">
              <w:rPr>
                <w:rFonts w:ascii="Calibri" w:hAnsi="Calibri" w:cs="Calibri"/>
                <w:sz w:val="24"/>
                <w:szCs w:val="24"/>
              </w:rPr>
              <w:t xml:space="preserve">stages and </w:t>
            </w:r>
            <w:r w:rsidRPr="00201C6C">
              <w:rPr>
                <w:rFonts w:ascii="Calibri" w:hAnsi="Calibri" w:cs="Calibri"/>
                <w:sz w:val="24"/>
                <w:szCs w:val="24"/>
              </w:rPr>
              <w:t>processes of infrastructure development</w:t>
            </w:r>
            <w:r w:rsidR="008C08EC" w:rsidRPr="00201C6C">
              <w:rPr>
                <w:rFonts w:ascii="Calibri" w:hAnsi="Calibri" w:cs="Calibri"/>
                <w:sz w:val="24"/>
                <w:szCs w:val="24"/>
              </w:rPr>
              <w:t xml:space="preserve">. </w:t>
            </w:r>
          </w:p>
          <w:p w14:paraId="0F0D1340" w14:textId="77777777" w:rsidR="0040590A" w:rsidRPr="00201C6C" w:rsidRDefault="0040590A" w:rsidP="0040590A">
            <w:pPr>
              <w:pStyle w:val="ListParagraph"/>
              <w:ind w:left="617"/>
              <w:jc w:val="both"/>
              <w:rPr>
                <w:rFonts w:ascii="Calibri" w:hAnsi="Calibri" w:cs="Calibri"/>
                <w:sz w:val="24"/>
                <w:szCs w:val="24"/>
              </w:rPr>
            </w:pPr>
          </w:p>
          <w:p w14:paraId="52188ADC" w14:textId="691DE72E" w:rsidR="005C0B9B" w:rsidRPr="00201C6C" w:rsidRDefault="005748F2" w:rsidP="00C75DE3">
            <w:pPr>
              <w:pStyle w:val="ListParagraph"/>
              <w:numPr>
                <w:ilvl w:val="1"/>
                <w:numId w:val="4"/>
              </w:numPr>
              <w:ind w:left="617" w:hanging="617"/>
              <w:jc w:val="both"/>
              <w:rPr>
                <w:rFonts w:ascii="Calibri" w:hAnsi="Calibri" w:cs="Calibri"/>
                <w:sz w:val="24"/>
                <w:szCs w:val="24"/>
              </w:rPr>
            </w:pPr>
            <w:r w:rsidRPr="00201C6C">
              <w:rPr>
                <w:rFonts w:ascii="Calibri" w:hAnsi="Calibri" w:cs="Calibri"/>
                <w:sz w:val="24"/>
                <w:szCs w:val="24"/>
              </w:rPr>
              <w:t>Current infrastructure development</w:t>
            </w:r>
            <w:r w:rsidR="0040590A" w:rsidRPr="00201C6C">
              <w:rPr>
                <w:rFonts w:ascii="Calibri" w:hAnsi="Calibri" w:cs="Calibri"/>
                <w:sz w:val="24"/>
                <w:szCs w:val="24"/>
              </w:rPr>
              <w:t xml:space="preserve"> and</w:t>
            </w:r>
            <w:r w:rsidRPr="00201C6C">
              <w:rPr>
                <w:rFonts w:ascii="Calibri" w:hAnsi="Calibri" w:cs="Calibri"/>
                <w:sz w:val="24"/>
                <w:szCs w:val="24"/>
              </w:rPr>
              <w:t xml:space="preserve"> economic growth trajectories</w:t>
            </w:r>
            <w:r w:rsidR="0040590A" w:rsidRPr="00201C6C">
              <w:rPr>
                <w:rFonts w:ascii="Calibri" w:hAnsi="Calibri" w:cs="Calibri"/>
                <w:sz w:val="24"/>
                <w:szCs w:val="24"/>
              </w:rPr>
              <w:t>,</w:t>
            </w:r>
            <w:r w:rsidRPr="00201C6C">
              <w:rPr>
                <w:rFonts w:ascii="Calibri" w:hAnsi="Calibri" w:cs="Calibri"/>
                <w:sz w:val="24"/>
                <w:szCs w:val="24"/>
              </w:rPr>
              <w:t xml:space="preserve"> among other development stressors such as climate change</w:t>
            </w:r>
            <w:r w:rsidR="0040590A" w:rsidRPr="00201C6C">
              <w:rPr>
                <w:rFonts w:ascii="Calibri" w:hAnsi="Calibri" w:cs="Calibri"/>
                <w:sz w:val="24"/>
                <w:szCs w:val="24"/>
              </w:rPr>
              <w:t>,</w:t>
            </w:r>
            <w:r w:rsidRPr="00201C6C">
              <w:rPr>
                <w:rFonts w:ascii="Calibri" w:hAnsi="Calibri" w:cs="Calibri"/>
                <w:sz w:val="24"/>
                <w:szCs w:val="24"/>
              </w:rPr>
              <w:t xml:space="preserve"> continue to </w:t>
            </w:r>
            <w:r w:rsidRPr="00201C6C">
              <w:rPr>
                <w:rFonts w:ascii="Calibri" w:hAnsi="Calibri" w:cs="Calibri"/>
                <w:sz w:val="24"/>
                <w:szCs w:val="24"/>
                <w:lang w:val="en-US"/>
              </w:rPr>
              <w:t>deepen and widen existing gender inequalities.</w:t>
            </w:r>
            <w:r w:rsidRPr="00201C6C">
              <w:rPr>
                <w:rFonts w:ascii="Calibri" w:hAnsi="Calibri" w:cs="Calibri"/>
                <w:sz w:val="24"/>
                <w:szCs w:val="24"/>
              </w:rPr>
              <w:t xml:space="preserve"> </w:t>
            </w:r>
            <w:r w:rsidR="0078491B" w:rsidRPr="00201C6C">
              <w:rPr>
                <w:rFonts w:ascii="Calibri" w:hAnsi="Calibri" w:cs="Calibri"/>
                <w:sz w:val="24"/>
                <w:szCs w:val="24"/>
              </w:rPr>
              <w:t xml:space="preserve">It </w:t>
            </w:r>
            <w:r w:rsidR="00985673" w:rsidRPr="00201C6C">
              <w:rPr>
                <w:rFonts w:ascii="Calibri" w:hAnsi="Calibri" w:cs="Calibri"/>
                <w:sz w:val="24"/>
                <w:szCs w:val="24"/>
              </w:rPr>
              <w:t>should be</w:t>
            </w:r>
            <w:r w:rsidR="0078491B" w:rsidRPr="00201C6C">
              <w:rPr>
                <w:rFonts w:ascii="Calibri" w:hAnsi="Calibri" w:cs="Calibri"/>
                <w:sz w:val="24"/>
                <w:szCs w:val="24"/>
              </w:rPr>
              <w:t xml:space="preserve"> noted that infrastructure development is not gender-neutral</w:t>
            </w:r>
            <w:r w:rsidRPr="00201C6C">
              <w:rPr>
                <w:rFonts w:ascii="Calibri" w:hAnsi="Calibri" w:cs="Calibri"/>
                <w:sz w:val="24"/>
                <w:szCs w:val="24"/>
              </w:rPr>
              <w:t xml:space="preserve"> and w</w:t>
            </w:r>
            <w:r w:rsidRPr="00201C6C">
              <w:rPr>
                <w:rFonts w:ascii="Calibri" w:hAnsi="Calibri" w:cs="Calibri"/>
                <w:sz w:val="24"/>
                <w:szCs w:val="24"/>
                <w:lang w:val="en-US"/>
              </w:rPr>
              <w:t>omen, particular</w:t>
            </w:r>
            <w:r w:rsidR="00D204D9" w:rsidRPr="00201C6C">
              <w:rPr>
                <w:rFonts w:ascii="Calibri" w:hAnsi="Calibri" w:cs="Calibri"/>
                <w:sz w:val="24"/>
                <w:szCs w:val="24"/>
                <w:lang w:val="en-US"/>
              </w:rPr>
              <w:t>ly</w:t>
            </w:r>
            <w:r w:rsidRPr="00201C6C">
              <w:rPr>
                <w:rFonts w:ascii="Calibri" w:hAnsi="Calibri" w:cs="Calibri"/>
                <w:sz w:val="24"/>
                <w:szCs w:val="24"/>
                <w:lang w:val="en-US"/>
              </w:rPr>
              <w:t xml:space="preserve"> in </w:t>
            </w:r>
            <w:r w:rsidR="00D204D9" w:rsidRPr="00201C6C">
              <w:rPr>
                <w:rFonts w:ascii="Calibri" w:hAnsi="Calibri" w:cs="Calibri"/>
                <w:sz w:val="24"/>
                <w:szCs w:val="24"/>
                <w:lang w:val="en-US"/>
              </w:rPr>
              <w:t>d</w:t>
            </w:r>
            <w:r w:rsidRPr="00201C6C">
              <w:rPr>
                <w:rFonts w:ascii="Calibri" w:hAnsi="Calibri" w:cs="Calibri"/>
                <w:sz w:val="24"/>
                <w:szCs w:val="24"/>
                <w:lang w:val="en-US"/>
              </w:rPr>
              <w:t>eveloping countries such as Zimbabwe, face higher risks of inequality as they tend to live in vulnerable environments with poor infrastructure and connectivity</w:t>
            </w:r>
            <w:r w:rsidR="0078491B" w:rsidRPr="00201C6C">
              <w:rPr>
                <w:rFonts w:ascii="Calibri" w:hAnsi="Calibri" w:cs="Calibri"/>
                <w:sz w:val="24"/>
                <w:szCs w:val="24"/>
              </w:rPr>
              <w:t>.</w:t>
            </w:r>
            <w:r w:rsidRPr="00201C6C">
              <w:rPr>
                <w:rFonts w:ascii="Calibri" w:eastAsia="Calibri" w:hAnsi="Calibri" w:cs="Calibri"/>
                <w:color w:val="000000"/>
                <w:sz w:val="24"/>
                <w:szCs w:val="24"/>
                <w:lang w:val="en-US"/>
              </w:rPr>
              <w:t xml:space="preserve"> </w:t>
            </w:r>
            <w:r w:rsidRPr="00201C6C">
              <w:rPr>
                <w:rFonts w:ascii="Calibri" w:hAnsi="Calibri" w:cs="Calibri"/>
                <w:sz w:val="24"/>
                <w:szCs w:val="24"/>
                <w:lang w:val="en-US"/>
              </w:rPr>
              <w:t>Limited access to capacity enhancement program</w:t>
            </w:r>
            <w:r w:rsidR="0040590A" w:rsidRPr="00201C6C">
              <w:rPr>
                <w:rFonts w:ascii="Calibri" w:hAnsi="Calibri" w:cs="Calibri"/>
                <w:sz w:val="24"/>
                <w:szCs w:val="24"/>
                <w:lang w:val="en-US"/>
              </w:rPr>
              <w:t>me</w:t>
            </w:r>
            <w:r w:rsidRPr="00201C6C">
              <w:rPr>
                <w:rFonts w:ascii="Calibri" w:hAnsi="Calibri" w:cs="Calibri"/>
                <w:sz w:val="24"/>
                <w:szCs w:val="24"/>
                <w:lang w:val="en-US"/>
              </w:rPr>
              <w:t>s, social services and support further exacerbate their risks and vulnerabilities.</w:t>
            </w:r>
            <w:r w:rsidR="0078491B" w:rsidRPr="00201C6C">
              <w:rPr>
                <w:rFonts w:ascii="Calibri" w:hAnsi="Calibri" w:cs="Calibri"/>
                <w:sz w:val="24"/>
                <w:szCs w:val="24"/>
              </w:rPr>
              <w:t xml:space="preserve"> </w:t>
            </w:r>
          </w:p>
          <w:p w14:paraId="1293F0B1" w14:textId="77777777" w:rsidR="005C0B9B" w:rsidRPr="00201C6C" w:rsidRDefault="005C0B9B" w:rsidP="005C0B9B">
            <w:pPr>
              <w:pStyle w:val="ListParagraph"/>
              <w:rPr>
                <w:rFonts w:ascii="Calibri" w:hAnsi="Calibri" w:cs="Calibri"/>
                <w:sz w:val="24"/>
                <w:szCs w:val="24"/>
                <w:lang w:val="en-US"/>
              </w:rPr>
            </w:pPr>
          </w:p>
          <w:p w14:paraId="1F49A78F" w14:textId="77777777" w:rsidR="005C0B9B" w:rsidRPr="00201C6C" w:rsidRDefault="005748F2" w:rsidP="00C75DE3">
            <w:pPr>
              <w:pStyle w:val="ListParagraph"/>
              <w:numPr>
                <w:ilvl w:val="1"/>
                <w:numId w:val="4"/>
              </w:numPr>
              <w:ind w:left="617" w:hanging="617"/>
              <w:jc w:val="both"/>
              <w:rPr>
                <w:rFonts w:ascii="Calibri" w:hAnsi="Calibri" w:cs="Calibri"/>
                <w:sz w:val="24"/>
                <w:szCs w:val="24"/>
              </w:rPr>
            </w:pPr>
            <w:r w:rsidRPr="00201C6C">
              <w:rPr>
                <w:rFonts w:ascii="Calibri" w:hAnsi="Calibri" w:cs="Calibri"/>
                <w:sz w:val="24"/>
                <w:szCs w:val="24"/>
                <w:lang w:val="en-US"/>
              </w:rPr>
              <w:t xml:space="preserve">Socially based roles and responsibilities of men and women often influence the extent of vulnerability as well as how communities will </w:t>
            </w:r>
            <w:r w:rsidR="00EC5785" w:rsidRPr="00201C6C">
              <w:rPr>
                <w:rFonts w:ascii="Calibri" w:hAnsi="Calibri" w:cs="Calibri"/>
                <w:sz w:val="24"/>
                <w:szCs w:val="24"/>
                <w:lang w:val="en-US"/>
              </w:rPr>
              <w:t xml:space="preserve">use existing infrastructure to </w:t>
            </w:r>
            <w:r w:rsidRPr="00201C6C">
              <w:rPr>
                <w:rFonts w:ascii="Calibri" w:hAnsi="Calibri" w:cs="Calibri"/>
                <w:sz w:val="24"/>
                <w:szCs w:val="24"/>
                <w:lang w:val="en-US"/>
              </w:rPr>
              <w:t>cope with the impact of a hazard or disaster.</w:t>
            </w:r>
            <w:r w:rsidR="0078491B" w:rsidRPr="00201C6C">
              <w:rPr>
                <w:rFonts w:ascii="Calibri" w:hAnsi="Calibri" w:cs="Calibri"/>
                <w:sz w:val="24"/>
                <w:szCs w:val="24"/>
              </w:rPr>
              <w:t xml:space="preserve"> T</w:t>
            </w:r>
            <w:r w:rsidR="00AE0B1B" w:rsidRPr="00201C6C">
              <w:rPr>
                <w:rFonts w:ascii="Calibri" w:hAnsi="Calibri" w:cs="Calibri"/>
                <w:sz w:val="24"/>
                <w:szCs w:val="24"/>
              </w:rPr>
              <w:t xml:space="preserve">o this end, </w:t>
            </w:r>
            <w:r w:rsidR="0078491B" w:rsidRPr="00201C6C">
              <w:rPr>
                <w:rFonts w:ascii="Calibri" w:hAnsi="Calibri" w:cs="Calibri"/>
                <w:sz w:val="24"/>
                <w:szCs w:val="24"/>
              </w:rPr>
              <w:t xml:space="preserve">the different roles and needs of women and men </w:t>
            </w:r>
            <w:r w:rsidR="00A84AD3" w:rsidRPr="00201C6C">
              <w:rPr>
                <w:rFonts w:ascii="Calibri" w:hAnsi="Calibri" w:cs="Calibri"/>
                <w:sz w:val="24"/>
                <w:szCs w:val="24"/>
              </w:rPr>
              <w:t>must</w:t>
            </w:r>
            <w:r w:rsidR="0078491B" w:rsidRPr="00201C6C">
              <w:rPr>
                <w:rFonts w:ascii="Calibri" w:hAnsi="Calibri" w:cs="Calibri"/>
                <w:sz w:val="24"/>
                <w:szCs w:val="24"/>
              </w:rPr>
              <w:t xml:space="preserve"> be taken into consideration and addressed in all infrastructure development projects. A gender lens in infrastructure development and operations can further enhance the effectiveness and sustainability of infrastructure investments. </w:t>
            </w:r>
          </w:p>
          <w:p w14:paraId="67ADCC59" w14:textId="77777777" w:rsidR="005C0B9B" w:rsidRPr="00201C6C" w:rsidRDefault="005C0B9B" w:rsidP="005C0B9B">
            <w:pPr>
              <w:pStyle w:val="ListParagraph"/>
              <w:rPr>
                <w:rFonts w:ascii="Calibri" w:hAnsi="Calibri" w:cs="Calibri"/>
                <w:sz w:val="24"/>
                <w:szCs w:val="24"/>
              </w:rPr>
            </w:pPr>
          </w:p>
          <w:p w14:paraId="1EA981EC" w14:textId="45FEB48B" w:rsidR="00765DFE" w:rsidRPr="00201C6C" w:rsidRDefault="0078491B" w:rsidP="00C75DE3">
            <w:pPr>
              <w:pStyle w:val="ListParagraph"/>
              <w:numPr>
                <w:ilvl w:val="1"/>
                <w:numId w:val="4"/>
              </w:numPr>
              <w:ind w:left="617" w:hanging="617"/>
              <w:jc w:val="both"/>
              <w:rPr>
                <w:rFonts w:ascii="Calibri" w:hAnsi="Calibri" w:cs="Calibri"/>
                <w:sz w:val="24"/>
                <w:szCs w:val="24"/>
              </w:rPr>
            </w:pPr>
            <w:r w:rsidRPr="00201C6C">
              <w:rPr>
                <w:rFonts w:ascii="Calibri" w:hAnsi="Calibri" w:cs="Calibri"/>
                <w:sz w:val="24"/>
                <w:szCs w:val="24"/>
              </w:rPr>
              <w:t xml:space="preserve">The </w:t>
            </w:r>
            <w:r w:rsidR="008A576B" w:rsidRPr="00201C6C">
              <w:rPr>
                <w:rFonts w:ascii="Calibri" w:hAnsi="Calibri" w:cs="Calibri"/>
                <w:sz w:val="24"/>
                <w:szCs w:val="24"/>
              </w:rPr>
              <w:t>IDBZ</w:t>
            </w:r>
            <w:r w:rsidRPr="00201C6C">
              <w:rPr>
                <w:rFonts w:ascii="Calibri" w:hAnsi="Calibri" w:cs="Calibri"/>
                <w:sz w:val="24"/>
                <w:szCs w:val="24"/>
              </w:rPr>
              <w:t xml:space="preserve"> has 5 </w:t>
            </w:r>
            <w:r w:rsidR="00343614" w:rsidRPr="00201C6C">
              <w:rPr>
                <w:rFonts w:ascii="Calibri" w:hAnsi="Calibri" w:cs="Calibri"/>
                <w:sz w:val="24"/>
                <w:szCs w:val="24"/>
              </w:rPr>
              <w:t>K</w:t>
            </w:r>
            <w:r w:rsidRPr="00201C6C">
              <w:rPr>
                <w:rFonts w:ascii="Calibri" w:hAnsi="Calibri" w:cs="Calibri"/>
                <w:sz w:val="24"/>
                <w:szCs w:val="24"/>
              </w:rPr>
              <w:t xml:space="preserve">ey Result </w:t>
            </w:r>
            <w:r w:rsidR="00343614" w:rsidRPr="00201C6C">
              <w:rPr>
                <w:rFonts w:ascii="Calibri" w:hAnsi="Calibri" w:cs="Calibri"/>
                <w:sz w:val="24"/>
                <w:szCs w:val="24"/>
              </w:rPr>
              <w:t>A</w:t>
            </w:r>
            <w:r w:rsidRPr="00201C6C">
              <w:rPr>
                <w:rFonts w:ascii="Calibri" w:hAnsi="Calibri" w:cs="Calibri"/>
                <w:sz w:val="24"/>
                <w:szCs w:val="24"/>
              </w:rPr>
              <w:t xml:space="preserve">reas </w:t>
            </w:r>
            <w:r w:rsidR="008A576B" w:rsidRPr="00201C6C">
              <w:rPr>
                <w:rFonts w:ascii="Calibri" w:hAnsi="Calibri" w:cs="Calibri"/>
                <w:sz w:val="24"/>
                <w:szCs w:val="24"/>
              </w:rPr>
              <w:t>(KRAs) which are</w:t>
            </w:r>
            <w:r w:rsidRPr="00201C6C">
              <w:rPr>
                <w:rFonts w:ascii="Calibri" w:hAnsi="Calibri" w:cs="Calibri"/>
                <w:sz w:val="24"/>
                <w:szCs w:val="24"/>
              </w:rPr>
              <w:t xml:space="preserve">: Infrastructure financing; Infrastructure project development and management; Financial sustainability; Knowledge generation and sharing; </w:t>
            </w:r>
            <w:r w:rsidR="008A576B" w:rsidRPr="00201C6C">
              <w:rPr>
                <w:rFonts w:ascii="Calibri" w:hAnsi="Calibri" w:cs="Calibri"/>
                <w:sz w:val="24"/>
                <w:szCs w:val="24"/>
              </w:rPr>
              <w:t>and</w:t>
            </w:r>
            <w:r w:rsidRPr="00201C6C">
              <w:rPr>
                <w:rFonts w:ascii="Calibri" w:hAnsi="Calibri" w:cs="Calibri"/>
                <w:sz w:val="24"/>
                <w:szCs w:val="24"/>
              </w:rPr>
              <w:t xml:space="preserve"> </w:t>
            </w:r>
            <w:r w:rsidR="008A576B" w:rsidRPr="00201C6C">
              <w:rPr>
                <w:rFonts w:ascii="Calibri" w:hAnsi="Calibri" w:cs="Calibri"/>
                <w:sz w:val="24"/>
                <w:szCs w:val="24"/>
              </w:rPr>
              <w:t>I</w:t>
            </w:r>
            <w:r w:rsidRPr="00201C6C">
              <w:rPr>
                <w:rFonts w:ascii="Calibri" w:hAnsi="Calibri" w:cs="Calibri"/>
                <w:sz w:val="24"/>
                <w:szCs w:val="24"/>
              </w:rPr>
              <w:t xml:space="preserve">nstitutional efficiency. </w:t>
            </w:r>
            <w:r w:rsidR="008A576B" w:rsidRPr="00201C6C">
              <w:rPr>
                <w:rFonts w:ascii="Calibri" w:hAnsi="Calibri" w:cs="Calibri"/>
                <w:sz w:val="24"/>
                <w:szCs w:val="24"/>
              </w:rPr>
              <w:t>The Bank is committed</w:t>
            </w:r>
            <w:r w:rsidRPr="00201C6C">
              <w:rPr>
                <w:rFonts w:ascii="Calibri" w:hAnsi="Calibri" w:cs="Calibri"/>
                <w:sz w:val="24"/>
                <w:szCs w:val="24"/>
              </w:rPr>
              <w:t xml:space="preserve"> to mainstream</w:t>
            </w:r>
            <w:r w:rsidR="008A576B" w:rsidRPr="00201C6C">
              <w:rPr>
                <w:rFonts w:ascii="Calibri" w:hAnsi="Calibri" w:cs="Calibri"/>
                <w:sz w:val="24"/>
                <w:szCs w:val="24"/>
              </w:rPr>
              <w:t>ing</w:t>
            </w:r>
            <w:r w:rsidRPr="00201C6C">
              <w:rPr>
                <w:rFonts w:ascii="Calibri" w:hAnsi="Calibri" w:cs="Calibri"/>
                <w:sz w:val="24"/>
                <w:szCs w:val="24"/>
              </w:rPr>
              <w:t xml:space="preserve"> gender in all its </w:t>
            </w:r>
            <w:r w:rsidR="008A576B" w:rsidRPr="00201C6C">
              <w:rPr>
                <w:rFonts w:ascii="Calibri" w:hAnsi="Calibri" w:cs="Calibri"/>
                <w:sz w:val="24"/>
                <w:szCs w:val="24"/>
              </w:rPr>
              <w:t>operations,</w:t>
            </w:r>
            <w:r w:rsidR="008C08EC" w:rsidRPr="00201C6C">
              <w:rPr>
                <w:rFonts w:ascii="Calibri" w:hAnsi="Calibri" w:cs="Calibri"/>
                <w:sz w:val="24"/>
                <w:szCs w:val="24"/>
              </w:rPr>
              <w:t xml:space="preserve"> thereby</w:t>
            </w:r>
            <w:r w:rsidR="00201A84" w:rsidRPr="00201C6C">
              <w:rPr>
                <w:rFonts w:ascii="Calibri" w:hAnsi="Calibri" w:cs="Calibri"/>
                <w:sz w:val="24"/>
                <w:szCs w:val="24"/>
              </w:rPr>
              <w:t xml:space="preserve"> </w:t>
            </w:r>
            <w:r w:rsidR="007123F2">
              <w:rPr>
                <w:rFonts w:ascii="Calibri" w:hAnsi="Calibri" w:cs="Calibri"/>
                <w:sz w:val="24"/>
                <w:szCs w:val="24"/>
              </w:rPr>
              <w:t xml:space="preserve">increasing the participation of women and also </w:t>
            </w:r>
            <w:r w:rsidR="00201A84" w:rsidRPr="00201C6C">
              <w:rPr>
                <w:rFonts w:ascii="Calibri" w:hAnsi="Calibri" w:cs="Calibri"/>
                <w:sz w:val="24"/>
                <w:szCs w:val="24"/>
              </w:rPr>
              <w:t xml:space="preserve">strengthening the capacity of women to take up leadership roles in infrastructure development. Gender mainstreaming will also strengthen women`s roles and agency for the advancement of their socio-cultural empowerment and directly support the gender equality commitments made by the Bank in </w:t>
            </w:r>
            <w:r w:rsidR="008A576B" w:rsidRPr="00201C6C">
              <w:rPr>
                <w:rFonts w:ascii="Calibri" w:hAnsi="Calibri" w:cs="Calibri"/>
                <w:sz w:val="24"/>
                <w:szCs w:val="24"/>
              </w:rPr>
              <w:t>its</w:t>
            </w:r>
            <w:r w:rsidR="00201A84" w:rsidRPr="00201C6C">
              <w:rPr>
                <w:rFonts w:ascii="Calibri" w:hAnsi="Calibri" w:cs="Calibri"/>
                <w:sz w:val="24"/>
                <w:szCs w:val="24"/>
              </w:rPr>
              <w:t xml:space="preserve"> </w:t>
            </w:r>
            <w:r w:rsidR="00B618C4" w:rsidRPr="00201C6C">
              <w:rPr>
                <w:rFonts w:ascii="Calibri" w:hAnsi="Calibri" w:cs="Calibri"/>
                <w:sz w:val="24"/>
                <w:szCs w:val="24"/>
              </w:rPr>
              <w:t>I</w:t>
            </w:r>
            <w:r w:rsidR="00201A84" w:rsidRPr="00201C6C">
              <w:rPr>
                <w:rFonts w:ascii="Calibri" w:hAnsi="Calibri" w:cs="Calibri"/>
                <w:sz w:val="24"/>
                <w:szCs w:val="24"/>
              </w:rPr>
              <w:t>nstitutional Gender Policy framework</w:t>
            </w:r>
            <w:r w:rsidR="008A576B" w:rsidRPr="00201C6C">
              <w:rPr>
                <w:rFonts w:ascii="Calibri" w:hAnsi="Calibri" w:cs="Calibri"/>
                <w:sz w:val="24"/>
                <w:szCs w:val="24"/>
              </w:rPr>
              <w:t>.</w:t>
            </w:r>
          </w:p>
          <w:p w14:paraId="291B86F0" w14:textId="77777777" w:rsidR="006A3C54" w:rsidRPr="00201C6C" w:rsidRDefault="006A3C54" w:rsidP="006A3C54">
            <w:pPr>
              <w:pStyle w:val="ListParagraph"/>
              <w:rPr>
                <w:rFonts w:ascii="Calibri" w:hAnsi="Calibri" w:cs="Calibri"/>
                <w:sz w:val="24"/>
                <w:szCs w:val="24"/>
              </w:rPr>
            </w:pPr>
          </w:p>
          <w:p w14:paraId="43CF0280" w14:textId="793AFE4D" w:rsidR="00765DFE" w:rsidRDefault="00A27257" w:rsidP="00C75DE3">
            <w:pPr>
              <w:pStyle w:val="ListParagraph"/>
              <w:numPr>
                <w:ilvl w:val="1"/>
                <w:numId w:val="4"/>
              </w:numPr>
              <w:spacing w:after="0"/>
              <w:ind w:left="617" w:hanging="617"/>
              <w:jc w:val="both"/>
              <w:rPr>
                <w:rFonts w:ascii="Calibri" w:hAnsi="Calibri" w:cs="Calibri"/>
                <w:sz w:val="24"/>
                <w:szCs w:val="24"/>
              </w:rPr>
            </w:pPr>
            <w:r>
              <w:rPr>
                <w:rFonts w:ascii="Calibri" w:hAnsi="Calibri" w:cs="Calibri"/>
                <w:sz w:val="24"/>
                <w:szCs w:val="24"/>
              </w:rPr>
              <w:t xml:space="preserve">The </w:t>
            </w:r>
            <w:r w:rsidR="006A3C54" w:rsidRPr="00201C6C">
              <w:rPr>
                <w:rFonts w:ascii="Calibri" w:hAnsi="Calibri" w:cs="Calibri"/>
                <w:sz w:val="24"/>
                <w:szCs w:val="24"/>
              </w:rPr>
              <w:t>IDBZ developed a Bank</w:t>
            </w:r>
            <w:r w:rsidR="00B618C4" w:rsidRPr="00201C6C">
              <w:rPr>
                <w:rFonts w:ascii="Calibri" w:hAnsi="Calibri" w:cs="Calibri"/>
                <w:sz w:val="24"/>
                <w:szCs w:val="24"/>
              </w:rPr>
              <w:t>-</w:t>
            </w:r>
            <w:r w:rsidR="006A3C54" w:rsidRPr="00201C6C">
              <w:rPr>
                <w:rFonts w:ascii="Calibri" w:hAnsi="Calibri" w:cs="Calibri"/>
                <w:sz w:val="24"/>
                <w:szCs w:val="24"/>
              </w:rPr>
              <w:t>wide Gender Policy to align its operations to the national policy framework and international commitments on gender. The Bank’s Policy recognises that gender relations and inequalities are fundamental causes of poverty. The Bank is committed to establishing an environment that allows for gender equity and equality in order to promote inclusive socio-economic development in all its operations, advancing women and girls’ rights through infusion of gender analysis, gender sensitivity, women perspectives and gender equality goals into mainstream policies, projects and activities.</w:t>
            </w:r>
          </w:p>
          <w:p w14:paraId="49EE5ABF" w14:textId="77777777" w:rsidR="00DC4DAB" w:rsidRPr="00DC4DAB" w:rsidRDefault="00DC4DAB" w:rsidP="00DC4DAB">
            <w:pPr>
              <w:pStyle w:val="ListParagraph"/>
              <w:rPr>
                <w:rFonts w:ascii="Calibri" w:hAnsi="Calibri" w:cs="Calibri"/>
                <w:sz w:val="24"/>
                <w:szCs w:val="24"/>
              </w:rPr>
            </w:pPr>
          </w:p>
          <w:p w14:paraId="1070941A" w14:textId="77777777" w:rsidR="00DC4DAB" w:rsidRPr="00201C6C" w:rsidRDefault="00DC4DAB" w:rsidP="00DC4DAB">
            <w:pPr>
              <w:pStyle w:val="ListParagraph"/>
              <w:spacing w:after="0"/>
              <w:ind w:left="617"/>
              <w:jc w:val="both"/>
              <w:rPr>
                <w:rFonts w:ascii="Calibri" w:hAnsi="Calibri" w:cs="Calibri"/>
                <w:sz w:val="24"/>
                <w:szCs w:val="24"/>
              </w:rPr>
            </w:pPr>
          </w:p>
          <w:p w14:paraId="779FD272" w14:textId="77777777" w:rsidR="00765DFE" w:rsidRPr="00201C6C" w:rsidRDefault="00765DFE" w:rsidP="00765DFE">
            <w:pPr>
              <w:pStyle w:val="ListParagraph"/>
              <w:rPr>
                <w:rFonts w:ascii="Calibri" w:hAnsi="Calibri" w:cs="Calibri"/>
                <w:sz w:val="24"/>
                <w:szCs w:val="24"/>
              </w:rPr>
            </w:pPr>
          </w:p>
          <w:p w14:paraId="206C4139" w14:textId="2EC5ED73" w:rsidR="00276F87" w:rsidRPr="00201C6C" w:rsidRDefault="006A3C54" w:rsidP="00C75DE3">
            <w:pPr>
              <w:pStyle w:val="ListParagraph"/>
              <w:numPr>
                <w:ilvl w:val="1"/>
                <w:numId w:val="4"/>
              </w:numPr>
              <w:tabs>
                <w:tab w:val="left" w:pos="0"/>
              </w:tabs>
              <w:spacing w:after="0"/>
              <w:ind w:left="617" w:hanging="617"/>
              <w:jc w:val="both"/>
              <w:rPr>
                <w:rFonts w:ascii="Calibri" w:hAnsi="Calibri" w:cs="Calibri"/>
                <w:sz w:val="24"/>
                <w:szCs w:val="24"/>
              </w:rPr>
            </w:pPr>
            <w:r w:rsidRPr="00201C6C">
              <w:rPr>
                <w:rFonts w:ascii="Calibri" w:hAnsi="Calibri" w:cs="Calibri"/>
                <w:sz w:val="24"/>
                <w:szCs w:val="24"/>
              </w:rPr>
              <w:t xml:space="preserve">The Bank conducted a Gender Audit of its </w:t>
            </w:r>
            <w:r w:rsidR="006B1A73" w:rsidRPr="00201C6C">
              <w:rPr>
                <w:rFonts w:ascii="Calibri" w:hAnsi="Calibri" w:cs="Calibri"/>
                <w:sz w:val="24"/>
                <w:szCs w:val="24"/>
              </w:rPr>
              <w:t>systems</w:t>
            </w:r>
            <w:r w:rsidR="00343614" w:rsidRPr="00201C6C">
              <w:rPr>
                <w:rFonts w:ascii="Calibri" w:hAnsi="Calibri" w:cs="Calibri"/>
                <w:sz w:val="24"/>
                <w:szCs w:val="24"/>
              </w:rPr>
              <w:t xml:space="preserve">, </w:t>
            </w:r>
            <w:r w:rsidR="006B1A73" w:rsidRPr="00201C6C">
              <w:rPr>
                <w:rFonts w:ascii="Calibri" w:hAnsi="Calibri" w:cs="Calibri"/>
                <w:sz w:val="24"/>
                <w:szCs w:val="24"/>
              </w:rPr>
              <w:t>structures</w:t>
            </w:r>
            <w:r w:rsidR="00343614" w:rsidRPr="00201C6C">
              <w:rPr>
                <w:rFonts w:ascii="Calibri" w:hAnsi="Calibri" w:cs="Calibri"/>
                <w:sz w:val="24"/>
                <w:szCs w:val="24"/>
              </w:rPr>
              <w:t xml:space="preserve"> and operations</w:t>
            </w:r>
            <w:r w:rsidR="0078491B" w:rsidRPr="00201C6C">
              <w:rPr>
                <w:rFonts w:ascii="Calibri" w:hAnsi="Calibri" w:cs="Calibri"/>
                <w:sz w:val="24"/>
                <w:szCs w:val="24"/>
              </w:rPr>
              <w:t xml:space="preserve"> i</w:t>
            </w:r>
            <w:r w:rsidRPr="00201C6C">
              <w:rPr>
                <w:rFonts w:ascii="Calibri" w:hAnsi="Calibri" w:cs="Calibri"/>
                <w:sz w:val="24"/>
                <w:szCs w:val="24"/>
              </w:rPr>
              <w:t xml:space="preserve">n December 2019. The audit </w:t>
            </w:r>
            <w:r w:rsidR="00B76250" w:rsidRPr="00201C6C">
              <w:rPr>
                <w:rFonts w:ascii="Calibri" w:hAnsi="Calibri" w:cs="Calibri"/>
                <w:sz w:val="24"/>
                <w:szCs w:val="24"/>
              </w:rPr>
              <w:t>identif</w:t>
            </w:r>
            <w:r w:rsidRPr="00201C6C">
              <w:rPr>
                <w:rFonts w:ascii="Calibri" w:hAnsi="Calibri" w:cs="Calibri"/>
                <w:sz w:val="24"/>
                <w:szCs w:val="24"/>
              </w:rPr>
              <w:t>ied</w:t>
            </w:r>
            <w:r w:rsidR="00B76250" w:rsidRPr="00201C6C">
              <w:rPr>
                <w:rFonts w:ascii="Calibri" w:hAnsi="Calibri" w:cs="Calibri"/>
                <w:sz w:val="24"/>
                <w:szCs w:val="24"/>
              </w:rPr>
              <w:t xml:space="preserve"> critical gaps and challenges</w:t>
            </w:r>
            <w:r w:rsidRPr="00201C6C">
              <w:rPr>
                <w:rFonts w:ascii="Calibri" w:hAnsi="Calibri" w:cs="Calibri"/>
                <w:sz w:val="24"/>
                <w:szCs w:val="24"/>
              </w:rPr>
              <w:t xml:space="preserve"> </w:t>
            </w:r>
            <w:r w:rsidR="00B76250" w:rsidRPr="00201C6C">
              <w:rPr>
                <w:rFonts w:ascii="Calibri" w:hAnsi="Calibri" w:cs="Calibri"/>
                <w:sz w:val="24"/>
                <w:szCs w:val="24"/>
              </w:rPr>
              <w:t xml:space="preserve">and </w:t>
            </w:r>
            <w:r w:rsidR="00276F87" w:rsidRPr="00201C6C">
              <w:rPr>
                <w:rFonts w:ascii="Calibri" w:hAnsi="Calibri" w:cs="Calibri"/>
                <w:sz w:val="24"/>
                <w:szCs w:val="24"/>
                <w:lang w:eastAsia="en-ZW"/>
              </w:rPr>
              <w:t>opportunities in the Bank’s gender mainstreaming practices</w:t>
            </w:r>
            <w:r w:rsidR="00276F87" w:rsidRPr="00201C6C">
              <w:rPr>
                <w:rFonts w:ascii="Calibri" w:hAnsi="Calibri" w:cs="Calibri"/>
                <w:sz w:val="24"/>
                <w:szCs w:val="24"/>
              </w:rPr>
              <w:t xml:space="preserve">. One of the critical observations was the uneven distribution of awareness and knowledge on what gender is, what gender mainstreaming entails, and its relevance to the Bank’s mandate. Additionally, gender issues are still regarded as women’s issues and are viewed with scepticism amongst other categories of </w:t>
            </w:r>
            <w:r w:rsidR="00A0516A" w:rsidRPr="00201C6C">
              <w:rPr>
                <w:rFonts w:ascii="Calibri" w:hAnsi="Calibri" w:cs="Calibri"/>
                <w:sz w:val="24"/>
                <w:szCs w:val="24"/>
              </w:rPr>
              <w:t xml:space="preserve">Bank </w:t>
            </w:r>
            <w:r w:rsidR="00276F87" w:rsidRPr="00201C6C">
              <w:rPr>
                <w:rFonts w:ascii="Calibri" w:hAnsi="Calibri" w:cs="Calibri"/>
                <w:sz w:val="24"/>
                <w:szCs w:val="24"/>
              </w:rPr>
              <w:t>staff</w:t>
            </w:r>
            <w:r w:rsidR="00251021" w:rsidRPr="00201C6C">
              <w:rPr>
                <w:rFonts w:ascii="Calibri" w:hAnsi="Calibri" w:cs="Calibri"/>
                <w:sz w:val="24"/>
                <w:szCs w:val="24"/>
              </w:rPr>
              <w:t>.</w:t>
            </w:r>
          </w:p>
          <w:p w14:paraId="28BA8498" w14:textId="77777777" w:rsidR="00251021" w:rsidRPr="00201C6C" w:rsidRDefault="00251021" w:rsidP="00251021">
            <w:pPr>
              <w:pStyle w:val="ListParagraph"/>
              <w:rPr>
                <w:rFonts w:ascii="Calibri" w:hAnsi="Calibri" w:cs="Calibri"/>
                <w:sz w:val="24"/>
                <w:szCs w:val="24"/>
              </w:rPr>
            </w:pPr>
          </w:p>
          <w:p w14:paraId="3AE6289E" w14:textId="652B46E9" w:rsidR="006D21B5" w:rsidRPr="00201C6C" w:rsidRDefault="006D21B5" w:rsidP="00C75DE3">
            <w:pPr>
              <w:pStyle w:val="ListParagraph"/>
              <w:numPr>
                <w:ilvl w:val="0"/>
                <w:numId w:val="1"/>
              </w:numPr>
              <w:ind w:left="617" w:hanging="617"/>
              <w:jc w:val="both"/>
              <w:rPr>
                <w:rFonts w:ascii="Calibri" w:hAnsi="Calibri" w:cs="Calibri"/>
                <w:b/>
                <w:bCs/>
                <w:sz w:val="24"/>
                <w:szCs w:val="24"/>
              </w:rPr>
            </w:pPr>
            <w:r w:rsidRPr="00201C6C">
              <w:rPr>
                <w:rFonts w:ascii="Calibri" w:hAnsi="Calibri" w:cs="Calibri"/>
                <w:b/>
                <w:bCs/>
                <w:sz w:val="24"/>
                <w:szCs w:val="24"/>
              </w:rPr>
              <w:t>Objectives</w:t>
            </w:r>
          </w:p>
          <w:p w14:paraId="6B903F95" w14:textId="3AB0CF90" w:rsidR="00251021" w:rsidRPr="00201C6C" w:rsidRDefault="00251021" w:rsidP="00251021">
            <w:pPr>
              <w:tabs>
                <w:tab w:val="left" w:pos="0"/>
              </w:tabs>
              <w:spacing w:after="0"/>
              <w:ind w:left="720" w:hanging="720"/>
              <w:contextualSpacing/>
              <w:jc w:val="both"/>
              <w:rPr>
                <w:rFonts w:ascii="Calibri" w:eastAsia="Calibri" w:hAnsi="Calibri" w:cs="Calibri"/>
                <w:color w:val="181717"/>
                <w:sz w:val="24"/>
                <w:szCs w:val="24"/>
              </w:rPr>
            </w:pPr>
            <w:r w:rsidRPr="00201C6C">
              <w:rPr>
                <w:rFonts w:ascii="Calibri" w:hAnsi="Calibri" w:cs="Calibri"/>
                <w:sz w:val="24"/>
                <w:szCs w:val="24"/>
              </w:rPr>
              <w:t xml:space="preserve">4.1 </w:t>
            </w:r>
            <w:r w:rsidRPr="00201C6C">
              <w:rPr>
                <w:rFonts w:ascii="Calibri" w:hAnsi="Calibri" w:cs="Calibri"/>
                <w:sz w:val="24"/>
                <w:szCs w:val="24"/>
              </w:rPr>
              <w:tab/>
            </w:r>
            <w:r w:rsidRPr="00201C6C">
              <w:rPr>
                <w:rFonts w:ascii="Calibri" w:eastAsia="Calibri" w:hAnsi="Calibri" w:cs="Calibri"/>
                <w:color w:val="181717"/>
                <w:sz w:val="24"/>
                <w:szCs w:val="24"/>
              </w:rPr>
              <w:t xml:space="preserve">The overall aim of </w:t>
            </w:r>
            <w:r w:rsidR="00A0516A" w:rsidRPr="00201C6C">
              <w:rPr>
                <w:rFonts w:ascii="Calibri" w:eastAsia="Calibri" w:hAnsi="Calibri" w:cs="Calibri"/>
                <w:color w:val="181717"/>
                <w:sz w:val="24"/>
                <w:szCs w:val="24"/>
              </w:rPr>
              <w:t xml:space="preserve">the </w:t>
            </w:r>
            <w:r w:rsidRPr="00201C6C">
              <w:rPr>
                <w:rFonts w:ascii="Calibri" w:eastAsia="Calibri" w:hAnsi="Calibri" w:cs="Calibri"/>
                <w:color w:val="181717"/>
                <w:sz w:val="24"/>
                <w:szCs w:val="24"/>
              </w:rPr>
              <w:t xml:space="preserve">training is to build gender transformative everyday working practices and collective norms amongst Bank staff. </w:t>
            </w:r>
            <w:r w:rsidRPr="00201C6C">
              <w:rPr>
                <w:rFonts w:ascii="Calibri" w:hAnsi="Calibri" w:cs="Calibri"/>
                <w:sz w:val="24"/>
                <w:szCs w:val="24"/>
              </w:rPr>
              <w:t>Specifically, the gender training aims to achieve the following objectives:</w:t>
            </w:r>
          </w:p>
          <w:p w14:paraId="17E41FE2" w14:textId="346D4C2C" w:rsidR="00251021" w:rsidRPr="00201C6C" w:rsidRDefault="00251021" w:rsidP="00C75DE3">
            <w:pPr>
              <w:pStyle w:val="ListParagraph"/>
              <w:numPr>
                <w:ilvl w:val="2"/>
                <w:numId w:val="6"/>
              </w:numPr>
              <w:tabs>
                <w:tab w:val="left" w:pos="0"/>
              </w:tabs>
              <w:spacing w:before="100" w:after="0"/>
              <w:jc w:val="both"/>
              <w:rPr>
                <w:rFonts w:ascii="Calibri" w:eastAsia="Calibri" w:hAnsi="Calibri" w:cs="Calibri"/>
                <w:color w:val="181717"/>
                <w:sz w:val="24"/>
                <w:szCs w:val="24"/>
              </w:rPr>
            </w:pPr>
            <w:r w:rsidRPr="00201C6C">
              <w:rPr>
                <w:rFonts w:ascii="Calibri" w:hAnsi="Calibri" w:cs="Calibri"/>
                <w:sz w:val="24"/>
                <w:szCs w:val="24"/>
              </w:rPr>
              <w:t xml:space="preserve">To foster an understanding on the key gender concepts and how they relate to the Bank`s mandate. </w:t>
            </w:r>
            <w:r w:rsidRPr="00201C6C">
              <w:rPr>
                <w:rFonts w:ascii="Calibri" w:eastAsia="Calibri" w:hAnsi="Calibri" w:cs="Calibri"/>
                <w:color w:val="181717"/>
                <w:sz w:val="24"/>
                <w:szCs w:val="24"/>
              </w:rPr>
              <w:t>Staff should understand the relevance and importance of gender equality to their departmental and institutional policy objectives.</w:t>
            </w:r>
          </w:p>
          <w:p w14:paraId="25A7D22E" w14:textId="317A23F0" w:rsidR="00251021" w:rsidRPr="00201C6C" w:rsidRDefault="00251021" w:rsidP="00251021">
            <w:pPr>
              <w:tabs>
                <w:tab w:val="left" w:pos="0"/>
              </w:tabs>
              <w:spacing w:after="0"/>
              <w:ind w:left="720" w:hanging="720"/>
              <w:jc w:val="both"/>
              <w:rPr>
                <w:rFonts w:ascii="Calibri" w:eastAsia="Calibri" w:hAnsi="Calibri" w:cs="Calibri"/>
                <w:color w:val="181717"/>
                <w:sz w:val="24"/>
                <w:szCs w:val="24"/>
              </w:rPr>
            </w:pPr>
            <w:r w:rsidRPr="00201C6C">
              <w:rPr>
                <w:rFonts w:ascii="Calibri" w:hAnsi="Calibri" w:cs="Calibri"/>
                <w:sz w:val="24"/>
                <w:szCs w:val="24"/>
              </w:rPr>
              <w:t xml:space="preserve">4..1.2 </w:t>
            </w:r>
            <w:r w:rsidRPr="00201C6C">
              <w:rPr>
                <w:rFonts w:ascii="Calibri" w:hAnsi="Calibri" w:cs="Calibri"/>
                <w:sz w:val="24"/>
                <w:szCs w:val="24"/>
              </w:rPr>
              <w:tab/>
              <w:t xml:space="preserve">To equip individual staff members with knowledge and tools to effectively mainstream gender. </w:t>
            </w:r>
            <w:r w:rsidRPr="00201C6C">
              <w:rPr>
                <w:rFonts w:ascii="Calibri" w:eastAsia="Calibri" w:hAnsi="Calibri" w:cs="Calibri"/>
                <w:color w:val="181717"/>
                <w:sz w:val="24"/>
                <w:szCs w:val="24"/>
              </w:rPr>
              <w:t>Staff should know how and when to use gender analysis so that they can take account of gender in their everyday work.</w:t>
            </w:r>
          </w:p>
          <w:p w14:paraId="32370794" w14:textId="074B4B4F" w:rsidR="00251021" w:rsidRDefault="00251021" w:rsidP="000B14D3">
            <w:pPr>
              <w:spacing w:after="0"/>
              <w:ind w:left="720" w:hanging="720"/>
              <w:jc w:val="both"/>
              <w:rPr>
                <w:rFonts w:ascii="Calibri" w:hAnsi="Calibri" w:cs="Calibri"/>
                <w:sz w:val="24"/>
                <w:szCs w:val="24"/>
              </w:rPr>
            </w:pPr>
            <w:proofErr w:type="gramStart"/>
            <w:r w:rsidRPr="00201C6C">
              <w:rPr>
                <w:rFonts w:ascii="Calibri" w:hAnsi="Calibri" w:cs="Calibri"/>
                <w:sz w:val="24"/>
                <w:szCs w:val="24"/>
              </w:rPr>
              <w:t xml:space="preserve">4.1.3 </w:t>
            </w:r>
            <w:r w:rsidR="00A27257">
              <w:rPr>
                <w:rFonts w:ascii="Calibri" w:hAnsi="Calibri" w:cs="Calibri"/>
                <w:sz w:val="24"/>
                <w:szCs w:val="24"/>
              </w:rPr>
              <w:t xml:space="preserve"> </w:t>
            </w:r>
            <w:r w:rsidRPr="00201C6C">
              <w:rPr>
                <w:rFonts w:ascii="Calibri" w:hAnsi="Calibri" w:cs="Calibri"/>
                <w:sz w:val="24"/>
                <w:szCs w:val="24"/>
              </w:rPr>
              <w:t>To</w:t>
            </w:r>
            <w:proofErr w:type="gramEnd"/>
            <w:r w:rsidRPr="00201C6C">
              <w:rPr>
                <w:rFonts w:ascii="Calibri" w:hAnsi="Calibri" w:cs="Calibri"/>
                <w:sz w:val="24"/>
                <w:szCs w:val="24"/>
              </w:rPr>
              <w:t xml:space="preserve"> strengthen the Bank’s capacity on gender mainstreaming when dealing with partners, contractors, communities and other key stakeholders, especially during projects </w:t>
            </w:r>
            <w:r w:rsidR="00A0516A" w:rsidRPr="00201C6C">
              <w:rPr>
                <w:rFonts w:ascii="Calibri" w:hAnsi="Calibri" w:cs="Calibri"/>
                <w:sz w:val="24"/>
                <w:szCs w:val="24"/>
              </w:rPr>
              <w:t xml:space="preserve">development and </w:t>
            </w:r>
            <w:r w:rsidRPr="00201C6C">
              <w:rPr>
                <w:rFonts w:ascii="Calibri" w:hAnsi="Calibri" w:cs="Calibri"/>
                <w:sz w:val="24"/>
                <w:szCs w:val="24"/>
              </w:rPr>
              <w:t>implementation.</w:t>
            </w:r>
          </w:p>
          <w:p w14:paraId="6E94DCA7" w14:textId="77777777" w:rsidR="00626831" w:rsidRPr="00201C6C" w:rsidRDefault="00626831" w:rsidP="000B14D3">
            <w:pPr>
              <w:spacing w:after="0"/>
              <w:ind w:left="720" w:hanging="720"/>
              <w:jc w:val="both"/>
              <w:rPr>
                <w:rFonts w:ascii="Calibri" w:hAnsi="Calibri" w:cs="Calibri"/>
                <w:sz w:val="24"/>
                <w:szCs w:val="24"/>
              </w:rPr>
            </w:pPr>
          </w:p>
          <w:p w14:paraId="47117E21" w14:textId="77777777" w:rsidR="00626831" w:rsidRPr="00201C6C" w:rsidRDefault="00626831" w:rsidP="00626831">
            <w:pPr>
              <w:tabs>
                <w:tab w:val="left" w:pos="0"/>
              </w:tabs>
              <w:ind w:left="720" w:hanging="720"/>
              <w:jc w:val="both"/>
              <w:rPr>
                <w:rFonts w:ascii="Calibri" w:hAnsi="Calibri" w:cs="Calibri"/>
                <w:b/>
                <w:bCs/>
                <w:sz w:val="24"/>
                <w:szCs w:val="24"/>
              </w:rPr>
            </w:pPr>
            <w:r w:rsidRPr="00201C6C">
              <w:rPr>
                <w:rFonts w:ascii="Calibri" w:hAnsi="Calibri" w:cs="Calibri"/>
                <w:b/>
                <w:bCs/>
                <w:sz w:val="24"/>
                <w:szCs w:val="24"/>
              </w:rPr>
              <w:t>5</w:t>
            </w:r>
            <w:r w:rsidRPr="00201C6C">
              <w:rPr>
                <w:rFonts w:ascii="Calibri" w:hAnsi="Calibri" w:cs="Calibri"/>
                <w:b/>
                <w:bCs/>
                <w:sz w:val="24"/>
                <w:szCs w:val="24"/>
              </w:rPr>
              <w:tab/>
              <w:t xml:space="preserve">Expected </w:t>
            </w:r>
            <w:r>
              <w:rPr>
                <w:rFonts w:ascii="Calibri" w:hAnsi="Calibri" w:cs="Calibri"/>
                <w:b/>
                <w:bCs/>
                <w:sz w:val="24"/>
                <w:szCs w:val="24"/>
              </w:rPr>
              <w:t>O</w:t>
            </w:r>
            <w:r w:rsidRPr="00201C6C">
              <w:rPr>
                <w:rFonts w:ascii="Calibri" w:hAnsi="Calibri" w:cs="Calibri"/>
                <w:b/>
                <w:bCs/>
                <w:sz w:val="24"/>
                <w:szCs w:val="24"/>
              </w:rPr>
              <w:t>utcome</w:t>
            </w:r>
            <w:r>
              <w:rPr>
                <w:rFonts w:ascii="Calibri" w:hAnsi="Calibri" w:cs="Calibri"/>
                <w:b/>
                <w:bCs/>
                <w:sz w:val="24"/>
                <w:szCs w:val="24"/>
              </w:rPr>
              <w:t>/outputs/activities</w:t>
            </w:r>
          </w:p>
          <w:p w14:paraId="0520A024" w14:textId="77777777" w:rsidR="00626831" w:rsidRPr="00CF5214" w:rsidRDefault="00626831" w:rsidP="00C75DE3">
            <w:pPr>
              <w:pStyle w:val="ListParagraph"/>
              <w:numPr>
                <w:ilvl w:val="1"/>
                <w:numId w:val="10"/>
              </w:numPr>
              <w:tabs>
                <w:tab w:val="left" w:pos="0"/>
              </w:tabs>
              <w:jc w:val="both"/>
              <w:rPr>
                <w:rFonts w:ascii="Calibri" w:hAnsi="Calibri" w:cs="Calibri"/>
                <w:sz w:val="24"/>
                <w:szCs w:val="24"/>
              </w:rPr>
            </w:pPr>
            <w:r w:rsidRPr="00CF5214">
              <w:rPr>
                <w:rFonts w:ascii="Calibri" w:hAnsi="Calibri" w:cs="Calibri"/>
                <w:sz w:val="24"/>
                <w:szCs w:val="24"/>
              </w:rPr>
              <w:tab/>
              <w:t>Expected outcome</w:t>
            </w:r>
          </w:p>
          <w:p w14:paraId="4FAC4AFC" w14:textId="77777777" w:rsidR="00626831" w:rsidRDefault="00626831" w:rsidP="00626831">
            <w:pPr>
              <w:tabs>
                <w:tab w:val="left" w:pos="0"/>
              </w:tabs>
              <w:ind w:left="720" w:hanging="720"/>
              <w:jc w:val="both"/>
              <w:rPr>
                <w:rFonts w:ascii="Calibri" w:eastAsia="Calibri" w:hAnsi="Calibri" w:cs="Calibri"/>
                <w:color w:val="181717"/>
                <w:sz w:val="24"/>
                <w:szCs w:val="24"/>
              </w:rPr>
            </w:pPr>
            <w:r>
              <w:rPr>
                <w:rFonts w:ascii="Calibri" w:hAnsi="Calibri" w:cs="Calibri"/>
                <w:sz w:val="24"/>
                <w:szCs w:val="24"/>
              </w:rPr>
              <w:tab/>
            </w:r>
            <w:r w:rsidRPr="00201C6C">
              <w:rPr>
                <w:rFonts w:ascii="Calibri" w:hAnsi="Calibri" w:cs="Calibri"/>
                <w:sz w:val="24"/>
                <w:szCs w:val="24"/>
              </w:rPr>
              <w:t>The in-depth gender training</w:t>
            </w:r>
            <w:r w:rsidRPr="00201C6C">
              <w:rPr>
                <w:rFonts w:ascii="Calibri" w:eastAsia="Calibri" w:hAnsi="Calibri" w:cs="Calibri"/>
                <w:color w:val="181717"/>
                <w:sz w:val="24"/>
                <w:szCs w:val="24"/>
              </w:rPr>
              <w:t xml:space="preserve"> will contribute to providing participant(s) with the relevant knowledge, skills and values that allow them to contribute to the effective implementation of the gender mainstreaming strategy in their departments. Develop commitment to gender equality by understanding what needs to be done, why it </w:t>
            </w:r>
            <w:proofErr w:type="gramStart"/>
            <w:r w:rsidRPr="00201C6C">
              <w:rPr>
                <w:rFonts w:ascii="Calibri" w:eastAsia="Calibri" w:hAnsi="Calibri" w:cs="Calibri"/>
                <w:color w:val="181717"/>
                <w:sz w:val="24"/>
                <w:szCs w:val="24"/>
              </w:rPr>
              <w:t>has to</w:t>
            </w:r>
            <w:proofErr w:type="gramEnd"/>
            <w:r w:rsidRPr="00201C6C">
              <w:rPr>
                <w:rFonts w:ascii="Calibri" w:eastAsia="Calibri" w:hAnsi="Calibri" w:cs="Calibri"/>
                <w:color w:val="181717"/>
                <w:sz w:val="24"/>
                <w:szCs w:val="24"/>
              </w:rPr>
              <w:t xml:space="preserve"> be done, how it is done and when to do it. </w:t>
            </w:r>
          </w:p>
          <w:p w14:paraId="1FC59172" w14:textId="77777777" w:rsidR="00626831" w:rsidRPr="00CF5214" w:rsidRDefault="00626831" w:rsidP="00626831">
            <w:pPr>
              <w:tabs>
                <w:tab w:val="left" w:pos="0"/>
              </w:tabs>
              <w:ind w:left="720" w:hanging="720"/>
              <w:jc w:val="both"/>
              <w:rPr>
                <w:rFonts w:ascii="Calibri" w:eastAsia="Calibri" w:hAnsi="Calibri" w:cs="Calibri"/>
                <w:color w:val="181717"/>
                <w:sz w:val="24"/>
                <w:szCs w:val="24"/>
              </w:rPr>
            </w:pPr>
            <w:r>
              <w:rPr>
                <w:rFonts w:ascii="Calibri" w:eastAsia="Calibri" w:hAnsi="Calibri" w:cs="Calibri"/>
                <w:color w:val="181717"/>
                <w:sz w:val="24"/>
                <w:szCs w:val="24"/>
              </w:rPr>
              <w:t xml:space="preserve">5.2 </w:t>
            </w:r>
            <w:r>
              <w:rPr>
                <w:rFonts w:ascii="Calibri" w:eastAsia="Calibri" w:hAnsi="Calibri" w:cs="Calibri"/>
                <w:color w:val="181717"/>
                <w:sz w:val="24"/>
                <w:szCs w:val="24"/>
              </w:rPr>
              <w:tab/>
            </w:r>
            <w:r w:rsidRPr="00CF5214">
              <w:rPr>
                <w:sz w:val="24"/>
                <w:szCs w:val="24"/>
              </w:rPr>
              <w:t>Expected outputs</w:t>
            </w:r>
          </w:p>
          <w:p w14:paraId="79698B77" w14:textId="77777777" w:rsidR="00626831" w:rsidRDefault="00626831" w:rsidP="00C75DE3">
            <w:pPr>
              <w:pStyle w:val="ListParagraph"/>
              <w:numPr>
                <w:ilvl w:val="0"/>
                <w:numId w:val="9"/>
              </w:numPr>
              <w:tabs>
                <w:tab w:val="left" w:pos="0"/>
              </w:tabs>
              <w:jc w:val="both"/>
              <w:rPr>
                <w:rFonts w:ascii="Calibri" w:eastAsia="Times New Roman" w:hAnsi="Calibri" w:cs="Calibri"/>
                <w:sz w:val="24"/>
                <w:szCs w:val="24"/>
              </w:rPr>
            </w:pPr>
            <w:r w:rsidRPr="005C1950">
              <w:rPr>
                <w:sz w:val="24"/>
                <w:szCs w:val="24"/>
              </w:rPr>
              <w:t xml:space="preserve">Inception report detailing the </w:t>
            </w:r>
            <w:r w:rsidRPr="005C1950">
              <w:rPr>
                <w:rFonts w:ascii="Calibri" w:eastAsia="Times New Roman" w:hAnsi="Calibri" w:cs="Calibri"/>
                <w:sz w:val="24"/>
                <w:szCs w:val="24"/>
              </w:rPr>
              <w:t>topics to be covered and a summary of the content to be provided under each topic.</w:t>
            </w:r>
            <w:r>
              <w:rPr>
                <w:rFonts w:ascii="Calibri" w:eastAsia="Times New Roman" w:hAnsi="Calibri" w:cs="Calibri"/>
                <w:sz w:val="24"/>
                <w:szCs w:val="24"/>
              </w:rPr>
              <w:t xml:space="preserve"> </w:t>
            </w:r>
          </w:p>
          <w:p w14:paraId="61185841" w14:textId="70730A80" w:rsidR="00626831" w:rsidRPr="00BD075F" w:rsidRDefault="00626831" w:rsidP="00C75DE3">
            <w:pPr>
              <w:pStyle w:val="ListParagraph"/>
              <w:numPr>
                <w:ilvl w:val="0"/>
                <w:numId w:val="9"/>
              </w:numPr>
              <w:tabs>
                <w:tab w:val="left" w:pos="0"/>
              </w:tabs>
              <w:jc w:val="both"/>
              <w:rPr>
                <w:rFonts w:ascii="Calibri" w:eastAsia="Times New Roman" w:hAnsi="Calibri" w:cs="Calibri"/>
                <w:sz w:val="24"/>
                <w:szCs w:val="24"/>
              </w:rPr>
            </w:pPr>
            <w:r w:rsidRPr="005C1950">
              <w:rPr>
                <w:sz w:val="24"/>
                <w:szCs w:val="24"/>
              </w:rPr>
              <w:t>Gender mainstreaming manual relevant to the IDBZ focus areas as outlined</w:t>
            </w:r>
            <w:r>
              <w:rPr>
                <w:sz w:val="24"/>
                <w:szCs w:val="24"/>
              </w:rPr>
              <w:t xml:space="preserve"> above</w:t>
            </w:r>
            <w:r w:rsidRPr="005C1950">
              <w:rPr>
                <w:sz w:val="24"/>
                <w:szCs w:val="24"/>
              </w:rPr>
              <w:t xml:space="preserve"> in section 2.2</w:t>
            </w:r>
            <w:r>
              <w:rPr>
                <w:sz w:val="24"/>
                <w:szCs w:val="24"/>
              </w:rPr>
              <w:t xml:space="preserve"> and section 3.4.</w:t>
            </w:r>
          </w:p>
          <w:p w14:paraId="0866C684" w14:textId="77786824" w:rsidR="00BD075F" w:rsidRPr="00626831" w:rsidRDefault="00BD075F" w:rsidP="00C75DE3">
            <w:pPr>
              <w:pStyle w:val="ListParagraph"/>
              <w:numPr>
                <w:ilvl w:val="0"/>
                <w:numId w:val="9"/>
              </w:numPr>
              <w:tabs>
                <w:tab w:val="left" w:pos="0"/>
              </w:tabs>
              <w:jc w:val="both"/>
              <w:rPr>
                <w:rFonts w:ascii="Calibri" w:eastAsia="Times New Roman" w:hAnsi="Calibri" w:cs="Calibri"/>
                <w:sz w:val="24"/>
                <w:szCs w:val="24"/>
              </w:rPr>
            </w:pPr>
            <w:r>
              <w:rPr>
                <w:rFonts w:ascii="Calibri" w:eastAsia="Times New Roman" w:hAnsi="Calibri" w:cs="Calibri"/>
                <w:sz w:val="24"/>
                <w:szCs w:val="24"/>
              </w:rPr>
              <w:t>Training report</w:t>
            </w:r>
          </w:p>
          <w:p w14:paraId="7A4345ED" w14:textId="77777777" w:rsidR="00626831" w:rsidRPr="00CF5214" w:rsidRDefault="00626831" w:rsidP="00626831">
            <w:pPr>
              <w:pStyle w:val="ListParagraph"/>
              <w:tabs>
                <w:tab w:val="left" w:pos="0"/>
              </w:tabs>
              <w:ind w:left="1440"/>
              <w:jc w:val="both"/>
              <w:rPr>
                <w:rFonts w:ascii="Calibri" w:eastAsia="Times New Roman" w:hAnsi="Calibri" w:cs="Calibri"/>
                <w:sz w:val="24"/>
                <w:szCs w:val="24"/>
              </w:rPr>
            </w:pPr>
          </w:p>
          <w:p w14:paraId="2A22A331" w14:textId="77777777" w:rsidR="00626831" w:rsidRPr="00CF5214" w:rsidRDefault="00626831" w:rsidP="00C75DE3">
            <w:pPr>
              <w:pStyle w:val="ListParagraph"/>
              <w:numPr>
                <w:ilvl w:val="1"/>
                <w:numId w:val="11"/>
              </w:numPr>
              <w:rPr>
                <w:sz w:val="24"/>
                <w:szCs w:val="24"/>
              </w:rPr>
            </w:pPr>
            <w:r>
              <w:rPr>
                <w:sz w:val="24"/>
                <w:szCs w:val="24"/>
              </w:rPr>
              <w:t xml:space="preserve">       </w:t>
            </w:r>
            <w:r w:rsidRPr="00CF5214">
              <w:rPr>
                <w:sz w:val="24"/>
                <w:szCs w:val="24"/>
              </w:rPr>
              <w:t xml:space="preserve">Key activities to be done by the Consultant </w:t>
            </w:r>
          </w:p>
          <w:p w14:paraId="0DDB680B" w14:textId="77777777" w:rsidR="00626831" w:rsidRDefault="00626831" w:rsidP="00C75DE3">
            <w:pPr>
              <w:pStyle w:val="ListParagraph"/>
              <w:numPr>
                <w:ilvl w:val="0"/>
                <w:numId w:val="8"/>
              </w:numPr>
              <w:jc w:val="both"/>
              <w:rPr>
                <w:sz w:val="24"/>
                <w:szCs w:val="24"/>
              </w:rPr>
            </w:pPr>
            <w:r>
              <w:rPr>
                <w:sz w:val="24"/>
                <w:szCs w:val="24"/>
              </w:rPr>
              <w:t xml:space="preserve">Review of </w:t>
            </w:r>
            <w:r w:rsidRPr="005C1950">
              <w:rPr>
                <w:sz w:val="24"/>
                <w:szCs w:val="24"/>
              </w:rPr>
              <w:t>internal documents to familiarise with the Bank`s operations</w:t>
            </w:r>
            <w:r>
              <w:rPr>
                <w:sz w:val="24"/>
                <w:szCs w:val="24"/>
              </w:rPr>
              <w:t>.</w:t>
            </w:r>
          </w:p>
          <w:p w14:paraId="35332E49" w14:textId="77777777" w:rsidR="00626831" w:rsidRDefault="00626831" w:rsidP="00C75DE3">
            <w:pPr>
              <w:pStyle w:val="ListParagraph"/>
              <w:numPr>
                <w:ilvl w:val="0"/>
                <w:numId w:val="8"/>
              </w:numPr>
              <w:jc w:val="both"/>
              <w:rPr>
                <w:sz w:val="24"/>
                <w:szCs w:val="24"/>
              </w:rPr>
            </w:pPr>
            <w:r w:rsidRPr="005C1950">
              <w:rPr>
                <w:sz w:val="24"/>
                <w:szCs w:val="24"/>
              </w:rPr>
              <w:t xml:space="preserve"> </w:t>
            </w:r>
            <w:r>
              <w:rPr>
                <w:sz w:val="24"/>
                <w:szCs w:val="24"/>
              </w:rPr>
              <w:t>Develop the gender mainstreaming manual with practical examples relevant to the Bank`s mandate.</w:t>
            </w:r>
          </w:p>
          <w:p w14:paraId="07837A85" w14:textId="77777777" w:rsidR="00626831" w:rsidRDefault="00626831" w:rsidP="00C75DE3">
            <w:pPr>
              <w:pStyle w:val="ListParagraph"/>
              <w:numPr>
                <w:ilvl w:val="0"/>
                <w:numId w:val="8"/>
              </w:numPr>
              <w:jc w:val="both"/>
              <w:rPr>
                <w:sz w:val="24"/>
                <w:szCs w:val="24"/>
              </w:rPr>
            </w:pPr>
            <w:r>
              <w:rPr>
                <w:sz w:val="24"/>
                <w:szCs w:val="24"/>
              </w:rPr>
              <w:t>Conduct the two-day online training.</w:t>
            </w:r>
          </w:p>
          <w:p w14:paraId="0B67820B" w14:textId="1CF496FF" w:rsidR="00623B54" w:rsidRPr="00201C6C" w:rsidRDefault="00623B54" w:rsidP="00B97204">
            <w:pPr>
              <w:tabs>
                <w:tab w:val="left" w:pos="0"/>
              </w:tabs>
              <w:spacing w:after="0"/>
              <w:ind w:left="720" w:hanging="720"/>
              <w:jc w:val="both"/>
              <w:rPr>
                <w:rFonts w:ascii="Calibri" w:hAnsi="Calibri" w:cs="Calibri"/>
                <w:sz w:val="24"/>
                <w:szCs w:val="24"/>
              </w:rPr>
            </w:pPr>
          </w:p>
          <w:p w14:paraId="07B33F7B" w14:textId="46F6A95C" w:rsidR="00B97204" w:rsidRPr="00201C6C" w:rsidRDefault="00A06241" w:rsidP="00A06241">
            <w:pPr>
              <w:spacing w:before="100"/>
              <w:jc w:val="both"/>
              <w:rPr>
                <w:rFonts w:ascii="Calibri" w:hAnsi="Calibri" w:cs="Calibri"/>
                <w:b/>
                <w:bCs/>
                <w:sz w:val="24"/>
                <w:szCs w:val="24"/>
              </w:rPr>
            </w:pPr>
            <w:r w:rsidRPr="00201C6C">
              <w:rPr>
                <w:rFonts w:ascii="Calibri" w:hAnsi="Calibri" w:cs="Calibri"/>
                <w:b/>
                <w:bCs/>
                <w:sz w:val="24"/>
                <w:szCs w:val="24"/>
              </w:rPr>
              <w:t>6</w:t>
            </w:r>
            <w:r w:rsidR="00B97204" w:rsidRPr="00201C6C">
              <w:rPr>
                <w:rFonts w:ascii="Calibri" w:hAnsi="Calibri" w:cs="Calibri"/>
                <w:b/>
                <w:bCs/>
                <w:sz w:val="24"/>
                <w:szCs w:val="24"/>
              </w:rPr>
              <w:tab/>
              <w:t>Scope and Methodology</w:t>
            </w:r>
          </w:p>
          <w:p w14:paraId="0296F3A1" w14:textId="73BB98FA" w:rsidR="00B97204" w:rsidRPr="00201C6C" w:rsidRDefault="00B97204" w:rsidP="00B97204">
            <w:pPr>
              <w:ind w:left="720" w:hanging="720"/>
              <w:jc w:val="both"/>
              <w:rPr>
                <w:rFonts w:ascii="Calibri" w:hAnsi="Calibri" w:cs="Calibri"/>
                <w:sz w:val="24"/>
                <w:szCs w:val="24"/>
              </w:rPr>
            </w:pPr>
            <w:r w:rsidRPr="00201C6C">
              <w:rPr>
                <w:rFonts w:ascii="Calibri" w:hAnsi="Calibri" w:cs="Calibri"/>
                <w:sz w:val="24"/>
                <w:szCs w:val="24"/>
              </w:rPr>
              <w:t xml:space="preserve">6.1 </w:t>
            </w:r>
            <w:r w:rsidRPr="00201C6C">
              <w:rPr>
                <w:rFonts w:ascii="Calibri" w:hAnsi="Calibri" w:cs="Calibri"/>
                <w:b/>
                <w:bCs/>
                <w:sz w:val="24"/>
                <w:szCs w:val="24"/>
              </w:rPr>
              <w:tab/>
            </w:r>
            <w:r w:rsidRPr="00201C6C">
              <w:rPr>
                <w:rFonts w:ascii="Calibri" w:hAnsi="Calibri" w:cs="Calibri"/>
                <w:sz w:val="24"/>
                <w:szCs w:val="24"/>
              </w:rPr>
              <w:t>The</w:t>
            </w:r>
            <w:r w:rsidRPr="00201C6C">
              <w:rPr>
                <w:rFonts w:ascii="Calibri" w:hAnsi="Calibri" w:cs="Calibri"/>
                <w:b/>
                <w:bCs/>
                <w:sz w:val="24"/>
                <w:szCs w:val="24"/>
              </w:rPr>
              <w:t xml:space="preserve"> </w:t>
            </w:r>
            <w:r w:rsidRPr="00201C6C">
              <w:rPr>
                <w:rFonts w:ascii="Calibri" w:hAnsi="Calibri" w:cs="Calibri"/>
                <w:sz w:val="24"/>
                <w:szCs w:val="24"/>
              </w:rPr>
              <w:t xml:space="preserve">gender training will target all staff with a focus on the Bank`s mandate. The training   materials will therefore be aligned to the Bank`s </w:t>
            </w:r>
            <w:r w:rsidR="00A20C49">
              <w:rPr>
                <w:rFonts w:ascii="Calibri" w:hAnsi="Calibri" w:cs="Calibri"/>
                <w:sz w:val="24"/>
                <w:szCs w:val="24"/>
              </w:rPr>
              <w:t xml:space="preserve">mandate and </w:t>
            </w:r>
            <w:r w:rsidRPr="00201C6C">
              <w:rPr>
                <w:rFonts w:ascii="Calibri" w:hAnsi="Calibri" w:cs="Calibri"/>
                <w:sz w:val="24"/>
                <w:szCs w:val="24"/>
              </w:rPr>
              <w:t>KRAs as outlined in section</w:t>
            </w:r>
            <w:r w:rsidR="00A20C49">
              <w:rPr>
                <w:rFonts w:ascii="Calibri" w:hAnsi="Calibri" w:cs="Calibri"/>
                <w:sz w:val="24"/>
                <w:szCs w:val="24"/>
              </w:rPr>
              <w:t xml:space="preserve"> 2.2 </w:t>
            </w:r>
            <w:proofErr w:type="gramStart"/>
            <w:r w:rsidR="00A20C49">
              <w:rPr>
                <w:rFonts w:ascii="Calibri" w:hAnsi="Calibri" w:cs="Calibri"/>
                <w:sz w:val="24"/>
                <w:szCs w:val="24"/>
              </w:rPr>
              <w:t xml:space="preserve">and </w:t>
            </w:r>
            <w:r w:rsidRPr="00201C6C">
              <w:rPr>
                <w:rFonts w:ascii="Calibri" w:hAnsi="Calibri" w:cs="Calibri"/>
                <w:sz w:val="24"/>
                <w:szCs w:val="24"/>
              </w:rPr>
              <w:t xml:space="preserve"> 3.</w:t>
            </w:r>
            <w:r w:rsidR="00E05118">
              <w:rPr>
                <w:rFonts w:ascii="Calibri" w:hAnsi="Calibri" w:cs="Calibri"/>
                <w:sz w:val="24"/>
                <w:szCs w:val="24"/>
              </w:rPr>
              <w:t>5</w:t>
            </w:r>
            <w:proofErr w:type="gramEnd"/>
            <w:r w:rsidRPr="00201C6C">
              <w:rPr>
                <w:rFonts w:ascii="Calibri" w:hAnsi="Calibri" w:cs="Calibri"/>
                <w:sz w:val="24"/>
                <w:szCs w:val="24"/>
              </w:rPr>
              <w:t xml:space="preserve"> </w:t>
            </w:r>
            <w:r w:rsidR="00A20C49">
              <w:rPr>
                <w:rFonts w:ascii="Calibri" w:hAnsi="Calibri" w:cs="Calibri"/>
                <w:sz w:val="24"/>
                <w:szCs w:val="24"/>
              </w:rPr>
              <w:t xml:space="preserve">respectively </w:t>
            </w:r>
            <w:r w:rsidRPr="00201C6C">
              <w:rPr>
                <w:rFonts w:ascii="Calibri" w:hAnsi="Calibri" w:cs="Calibri"/>
                <w:sz w:val="24"/>
                <w:szCs w:val="24"/>
              </w:rPr>
              <w:t xml:space="preserve"> to ensure that the training is relevant to </w:t>
            </w:r>
            <w:r w:rsidR="00A20C49">
              <w:rPr>
                <w:rFonts w:ascii="Calibri" w:hAnsi="Calibri" w:cs="Calibri"/>
                <w:sz w:val="24"/>
                <w:szCs w:val="24"/>
              </w:rPr>
              <w:t xml:space="preserve">122 staff across the Bank`s Departments/Divisions/Units </w:t>
            </w:r>
            <w:r w:rsidRPr="00201C6C">
              <w:rPr>
                <w:rFonts w:ascii="Calibri" w:hAnsi="Calibri" w:cs="Calibri"/>
                <w:sz w:val="24"/>
                <w:szCs w:val="24"/>
              </w:rPr>
              <w:t>.</w:t>
            </w:r>
          </w:p>
          <w:p w14:paraId="740D25D3" w14:textId="47960D72" w:rsidR="00B97204" w:rsidRPr="00201C6C" w:rsidRDefault="00B97204" w:rsidP="00B97204">
            <w:pPr>
              <w:spacing w:after="160"/>
              <w:ind w:left="720" w:hanging="720"/>
              <w:jc w:val="both"/>
              <w:rPr>
                <w:rFonts w:ascii="Calibri" w:hAnsi="Calibri" w:cs="Calibri"/>
                <w:sz w:val="24"/>
                <w:szCs w:val="24"/>
              </w:rPr>
            </w:pPr>
            <w:r w:rsidRPr="00201C6C">
              <w:rPr>
                <w:rFonts w:ascii="Calibri" w:hAnsi="Calibri" w:cs="Calibri"/>
                <w:sz w:val="24"/>
                <w:szCs w:val="24"/>
              </w:rPr>
              <w:t xml:space="preserve">6.2 </w:t>
            </w:r>
            <w:r w:rsidRPr="00201C6C">
              <w:rPr>
                <w:rFonts w:ascii="Calibri" w:hAnsi="Calibri" w:cs="Calibri"/>
                <w:sz w:val="24"/>
                <w:szCs w:val="24"/>
              </w:rPr>
              <w:tab/>
              <w:t xml:space="preserve">Due to the COVID19 pandemic, the training will be conducted online to avoid physical contact, hence training materials will be shared online. </w:t>
            </w:r>
          </w:p>
          <w:p w14:paraId="35BA8EC3" w14:textId="1C3C0298" w:rsidR="003E71C2" w:rsidRDefault="0068761F" w:rsidP="00DC4DAB">
            <w:pPr>
              <w:spacing w:after="160"/>
              <w:ind w:left="720" w:hanging="720"/>
              <w:jc w:val="both"/>
              <w:rPr>
                <w:rFonts w:ascii="Calibri" w:hAnsi="Calibri" w:cs="Calibri"/>
                <w:sz w:val="24"/>
                <w:szCs w:val="24"/>
              </w:rPr>
            </w:pPr>
            <w:r w:rsidRPr="00201C6C">
              <w:rPr>
                <w:rFonts w:ascii="Calibri" w:hAnsi="Calibri" w:cs="Calibri"/>
                <w:sz w:val="24"/>
                <w:szCs w:val="24"/>
              </w:rPr>
              <w:t xml:space="preserve">6.3 </w:t>
            </w:r>
            <w:r w:rsidR="00294F49" w:rsidRPr="00201C6C">
              <w:rPr>
                <w:rFonts w:ascii="Calibri" w:hAnsi="Calibri" w:cs="Calibri"/>
                <w:sz w:val="24"/>
                <w:szCs w:val="24"/>
              </w:rPr>
              <w:t xml:space="preserve">      The duration of the online training will be two (2) working days.</w:t>
            </w:r>
          </w:p>
          <w:p w14:paraId="744A8214" w14:textId="5AD3D8CF" w:rsidR="00A20C49" w:rsidRPr="00201C6C" w:rsidRDefault="00A20C49" w:rsidP="00DC4DAB">
            <w:pPr>
              <w:spacing w:after="160"/>
              <w:ind w:left="720" w:hanging="720"/>
              <w:jc w:val="both"/>
              <w:rPr>
                <w:rFonts w:ascii="Calibri" w:hAnsi="Calibri" w:cs="Calibri"/>
                <w:sz w:val="24"/>
                <w:szCs w:val="24"/>
              </w:rPr>
            </w:pPr>
          </w:p>
          <w:p w14:paraId="1AE43580" w14:textId="63D1CE20" w:rsidR="003E71C2" w:rsidRPr="00201C6C" w:rsidRDefault="00CC5A6A" w:rsidP="003E71C2">
            <w:pPr>
              <w:tabs>
                <w:tab w:val="left" w:pos="0"/>
              </w:tabs>
              <w:ind w:left="720" w:hanging="720"/>
              <w:jc w:val="both"/>
              <w:rPr>
                <w:rFonts w:ascii="Calibri" w:hAnsi="Calibri" w:cs="Calibri"/>
                <w:b/>
                <w:bCs/>
                <w:sz w:val="24"/>
                <w:szCs w:val="24"/>
              </w:rPr>
            </w:pPr>
            <w:r>
              <w:rPr>
                <w:rFonts w:ascii="Calibri" w:hAnsi="Calibri" w:cs="Calibri"/>
                <w:b/>
                <w:bCs/>
                <w:sz w:val="24"/>
                <w:szCs w:val="24"/>
              </w:rPr>
              <w:t>7</w:t>
            </w:r>
            <w:r w:rsidR="003E71C2" w:rsidRPr="00201C6C">
              <w:rPr>
                <w:rFonts w:ascii="Calibri" w:hAnsi="Calibri" w:cs="Calibri"/>
                <w:b/>
                <w:bCs/>
                <w:sz w:val="24"/>
                <w:szCs w:val="24"/>
              </w:rPr>
              <w:t xml:space="preserve">           Requirements </w:t>
            </w:r>
          </w:p>
          <w:p w14:paraId="3FE537F5" w14:textId="5327E4A0" w:rsidR="003E71C2" w:rsidRPr="00201C6C" w:rsidRDefault="00CC5A6A" w:rsidP="003E71C2">
            <w:pPr>
              <w:tabs>
                <w:tab w:val="left" w:pos="0"/>
              </w:tabs>
              <w:ind w:left="720" w:hanging="720"/>
              <w:jc w:val="both"/>
              <w:rPr>
                <w:rFonts w:ascii="Calibri" w:hAnsi="Calibri" w:cs="Calibri"/>
                <w:sz w:val="24"/>
                <w:szCs w:val="24"/>
              </w:rPr>
            </w:pPr>
            <w:r>
              <w:rPr>
                <w:rFonts w:ascii="Calibri" w:hAnsi="Calibri" w:cs="Calibri"/>
                <w:sz w:val="24"/>
                <w:szCs w:val="24"/>
              </w:rPr>
              <w:t>7</w:t>
            </w:r>
            <w:r w:rsidR="003E71C2" w:rsidRPr="00201C6C">
              <w:rPr>
                <w:rFonts w:ascii="Calibri" w:hAnsi="Calibri" w:cs="Calibri"/>
                <w:sz w:val="24"/>
                <w:szCs w:val="24"/>
              </w:rPr>
              <w:t xml:space="preserve">.1 </w:t>
            </w:r>
            <w:r w:rsidR="003E71C2" w:rsidRPr="00201C6C">
              <w:rPr>
                <w:rFonts w:ascii="Calibri" w:hAnsi="Calibri" w:cs="Calibri"/>
                <w:sz w:val="24"/>
                <w:szCs w:val="24"/>
              </w:rPr>
              <w:tab/>
              <w:t xml:space="preserve">Interested and qualified </w:t>
            </w:r>
            <w:r>
              <w:rPr>
                <w:rFonts w:ascii="Calibri" w:hAnsi="Calibri" w:cs="Calibri"/>
                <w:sz w:val="24"/>
                <w:szCs w:val="24"/>
              </w:rPr>
              <w:t xml:space="preserve">individual </w:t>
            </w:r>
            <w:r w:rsidR="003E71C2" w:rsidRPr="00201C6C">
              <w:rPr>
                <w:rFonts w:ascii="Calibri" w:hAnsi="Calibri" w:cs="Calibri"/>
                <w:sz w:val="24"/>
                <w:szCs w:val="24"/>
              </w:rPr>
              <w:t xml:space="preserve">consultants are invited to submit their proposal(s) by </w:t>
            </w:r>
            <w:r w:rsidR="000B14D3">
              <w:rPr>
                <w:rFonts w:ascii="Calibri" w:hAnsi="Calibri" w:cs="Calibri"/>
                <w:sz w:val="24"/>
                <w:szCs w:val="24"/>
              </w:rPr>
              <w:t>15</w:t>
            </w:r>
            <w:r w:rsidR="00A0516A" w:rsidRPr="00201C6C">
              <w:rPr>
                <w:rFonts w:ascii="Calibri" w:hAnsi="Calibri" w:cs="Calibri"/>
                <w:sz w:val="24"/>
                <w:szCs w:val="24"/>
              </w:rPr>
              <w:t xml:space="preserve"> June</w:t>
            </w:r>
            <w:r w:rsidR="003E71C2" w:rsidRPr="00201C6C">
              <w:rPr>
                <w:rFonts w:ascii="Calibri" w:hAnsi="Calibri" w:cs="Calibri"/>
                <w:sz w:val="24"/>
                <w:szCs w:val="24"/>
              </w:rPr>
              <w:t xml:space="preserve"> 2020 comprising the following:</w:t>
            </w:r>
          </w:p>
          <w:p w14:paraId="57A07E48" w14:textId="3398BCB0" w:rsidR="003E71C2" w:rsidRPr="00201C6C" w:rsidRDefault="003E71C2" w:rsidP="00C75DE3">
            <w:pPr>
              <w:pStyle w:val="ListParagraph"/>
              <w:numPr>
                <w:ilvl w:val="0"/>
                <w:numId w:val="7"/>
              </w:numPr>
              <w:tabs>
                <w:tab w:val="left" w:pos="0"/>
              </w:tabs>
              <w:jc w:val="both"/>
              <w:rPr>
                <w:rFonts w:ascii="Calibri" w:eastAsia="Times New Roman" w:hAnsi="Calibri" w:cs="Calibri"/>
                <w:sz w:val="24"/>
                <w:szCs w:val="24"/>
              </w:rPr>
            </w:pPr>
            <w:bookmarkStart w:id="0" w:name="_Hlk41664528"/>
            <w:r w:rsidRPr="00201C6C">
              <w:rPr>
                <w:rFonts w:ascii="Calibri" w:hAnsi="Calibri" w:cs="Calibri"/>
                <w:sz w:val="24"/>
                <w:szCs w:val="24"/>
              </w:rPr>
              <w:t>C</w:t>
            </w:r>
            <w:r w:rsidRPr="00201C6C">
              <w:rPr>
                <w:rFonts w:ascii="Calibri" w:eastAsia="Times New Roman" w:hAnsi="Calibri" w:cs="Calibri"/>
                <w:sz w:val="24"/>
                <w:szCs w:val="24"/>
              </w:rPr>
              <w:t>learly articulated and detailed technical proposal interpreting the TORs, activities schedule with clear milestones, time schedule (only working days), a breakdown of the proposed budget.</w:t>
            </w:r>
          </w:p>
          <w:p w14:paraId="407FF342" w14:textId="77777777" w:rsidR="003E71C2" w:rsidRPr="00201C6C" w:rsidRDefault="003E71C2" w:rsidP="00C75DE3">
            <w:pPr>
              <w:pStyle w:val="ListParagraph"/>
              <w:numPr>
                <w:ilvl w:val="0"/>
                <w:numId w:val="7"/>
              </w:numPr>
              <w:tabs>
                <w:tab w:val="left" w:pos="0"/>
              </w:tabs>
              <w:spacing w:before="100"/>
              <w:jc w:val="both"/>
              <w:rPr>
                <w:rFonts w:ascii="Calibri" w:eastAsia="Times New Roman" w:hAnsi="Calibri" w:cs="Calibri"/>
                <w:sz w:val="24"/>
                <w:szCs w:val="24"/>
              </w:rPr>
            </w:pPr>
            <w:r w:rsidRPr="00201C6C">
              <w:rPr>
                <w:rFonts w:ascii="Calibri" w:eastAsia="Times New Roman" w:hAnsi="Calibri" w:cs="Calibri"/>
                <w:sz w:val="24"/>
                <w:szCs w:val="24"/>
              </w:rPr>
              <w:t>Profile and capability statement describing experience to carry out the assignment</w:t>
            </w:r>
            <w:r w:rsidRPr="00201C6C">
              <w:rPr>
                <w:rFonts w:ascii="Calibri" w:hAnsi="Calibri" w:cs="Calibri"/>
                <w:sz w:val="24"/>
                <w:szCs w:val="24"/>
              </w:rPr>
              <w:t>.</w:t>
            </w:r>
          </w:p>
          <w:p w14:paraId="07A4021F" w14:textId="77777777" w:rsidR="003E71C2" w:rsidRPr="00201C6C" w:rsidRDefault="003E71C2" w:rsidP="00C75DE3">
            <w:pPr>
              <w:pStyle w:val="ListParagraph"/>
              <w:numPr>
                <w:ilvl w:val="0"/>
                <w:numId w:val="7"/>
              </w:numPr>
              <w:spacing w:before="100"/>
              <w:jc w:val="both"/>
              <w:rPr>
                <w:rFonts w:ascii="Calibri" w:hAnsi="Calibri" w:cs="Calibri"/>
                <w:sz w:val="24"/>
                <w:szCs w:val="24"/>
              </w:rPr>
            </w:pPr>
            <w:r w:rsidRPr="00201C6C">
              <w:rPr>
                <w:rFonts w:ascii="Calibri" w:hAnsi="Calibri" w:cs="Calibri"/>
                <w:sz w:val="24"/>
                <w:szCs w:val="24"/>
              </w:rPr>
              <w:t>Detailed reference list with contact details indicating the scope and magnitude of similar assignments undertaken in the past five (5) years.</w:t>
            </w:r>
          </w:p>
          <w:p w14:paraId="39F21C41" w14:textId="7C6E93C0" w:rsidR="003E71C2" w:rsidRPr="00201C6C" w:rsidRDefault="003E71C2" w:rsidP="00C75DE3">
            <w:pPr>
              <w:pStyle w:val="ListParagraph"/>
              <w:numPr>
                <w:ilvl w:val="0"/>
                <w:numId w:val="7"/>
              </w:numPr>
              <w:spacing w:before="100"/>
              <w:jc w:val="both"/>
              <w:rPr>
                <w:rFonts w:ascii="Calibri" w:hAnsi="Calibri" w:cs="Calibri"/>
                <w:sz w:val="24"/>
                <w:szCs w:val="24"/>
              </w:rPr>
            </w:pPr>
            <w:r w:rsidRPr="00201C6C">
              <w:rPr>
                <w:rFonts w:ascii="Calibri" w:hAnsi="Calibri" w:cs="Calibri"/>
                <w:sz w:val="24"/>
                <w:szCs w:val="24"/>
              </w:rPr>
              <w:t>At least 3 references from previous clients.</w:t>
            </w:r>
          </w:p>
          <w:p w14:paraId="1832BDE9" w14:textId="77777777" w:rsidR="003E71C2" w:rsidRPr="00201C6C" w:rsidRDefault="003E71C2" w:rsidP="00C75DE3">
            <w:pPr>
              <w:pStyle w:val="ListParagraph"/>
              <w:numPr>
                <w:ilvl w:val="0"/>
                <w:numId w:val="7"/>
              </w:numPr>
              <w:spacing w:before="100"/>
              <w:jc w:val="both"/>
              <w:rPr>
                <w:rFonts w:ascii="Calibri" w:hAnsi="Calibri" w:cs="Calibri"/>
                <w:sz w:val="24"/>
                <w:szCs w:val="24"/>
              </w:rPr>
            </w:pPr>
            <w:r w:rsidRPr="00201C6C">
              <w:rPr>
                <w:rFonts w:ascii="Calibri" w:hAnsi="Calibri" w:cs="Calibri"/>
                <w:sz w:val="24"/>
                <w:szCs w:val="24"/>
              </w:rPr>
              <w:t xml:space="preserve">Financial proposal showing clearly the budgeted cost for the work to be conducted by the Consultant under the scope of work above. The financial proposal should be </w:t>
            </w:r>
            <w:r w:rsidRPr="00201C6C">
              <w:rPr>
                <w:rFonts w:ascii="Calibri" w:hAnsi="Calibri" w:cs="Calibri"/>
                <w:b/>
                <w:bCs/>
                <w:sz w:val="24"/>
                <w:szCs w:val="24"/>
              </w:rPr>
              <w:t>inclusive</w:t>
            </w:r>
            <w:r w:rsidRPr="00201C6C">
              <w:rPr>
                <w:rFonts w:ascii="Calibri" w:hAnsi="Calibri" w:cs="Calibri"/>
                <w:sz w:val="24"/>
                <w:szCs w:val="24"/>
              </w:rPr>
              <w:t xml:space="preserve"> of all applicable taxes.</w:t>
            </w:r>
          </w:p>
          <w:bookmarkEnd w:id="0"/>
          <w:p w14:paraId="6DAC5461" w14:textId="77777777" w:rsidR="003E71C2" w:rsidRPr="00201C6C" w:rsidRDefault="003E71C2" w:rsidP="003E71C2">
            <w:pPr>
              <w:pStyle w:val="ListParagraph"/>
              <w:ind w:left="1080"/>
              <w:jc w:val="both"/>
              <w:rPr>
                <w:rFonts w:ascii="Calibri" w:hAnsi="Calibri" w:cs="Calibri"/>
                <w:b/>
                <w:sz w:val="24"/>
                <w:szCs w:val="24"/>
              </w:rPr>
            </w:pPr>
          </w:p>
          <w:p w14:paraId="072E0B0C" w14:textId="0AF3A313" w:rsidR="003E71C2" w:rsidRPr="00201C6C" w:rsidRDefault="00CC5A6A" w:rsidP="003E71C2">
            <w:pPr>
              <w:jc w:val="both"/>
              <w:rPr>
                <w:rFonts w:ascii="Calibri" w:hAnsi="Calibri" w:cs="Calibri"/>
                <w:b/>
                <w:sz w:val="24"/>
                <w:szCs w:val="24"/>
              </w:rPr>
            </w:pPr>
            <w:r>
              <w:rPr>
                <w:rFonts w:ascii="Calibri" w:hAnsi="Calibri" w:cs="Calibri"/>
                <w:b/>
                <w:sz w:val="24"/>
                <w:szCs w:val="24"/>
              </w:rPr>
              <w:t>8</w:t>
            </w:r>
            <w:r w:rsidR="003E71C2" w:rsidRPr="00201C6C">
              <w:rPr>
                <w:rFonts w:ascii="Calibri" w:hAnsi="Calibri" w:cs="Calibri"/>
                <w:b/>
                <w:sz w:val="24"/>
                <w:szCs w:val="24"/>
              </w:rPr>
              <w:t xml:space="preserve"> </w:t>
            </w:r>
            <w:r w:rsidR="003E71C2" w:rsidRPr="00201C6C">
              <w:rPr>
                <w:rFonts w:ascii="Calibri" w:hAnsi="Calibri" w:cs="Calibri"/>
                <w:b/>
                <w:sz w:val="24"/>
                <w:szCs w:val="24"/>
              </w:rPr>
              <w:tab/>
              <w:t xml:space="preserve">Qualifications and experience </w:t>
            </w:r>
          </w:p>
          <w:p w14:paraId="0C6A7DF0" w14:textId="77777777" w:rsidR="003E71C2" w:rsidRPr="00201C6C" w:rsidRDefault="003E71C2" w:rsidP="00C75DE3">
            <w:pPr>
              <w:pStyle w:val="ListParagraph"/>
              <w:numPr>
                <w:ilvl w:val="0"/>
                <w:numId w:val="5"/>
              </w:numPr>
              <w:spacing w:after="160"/>
              <w:ind w:left="1184" w:hanging="567"/>
              <w:jc w:val="both"/>
              <w:rPr>
                <w:rFonts w:ascii="Calibri" w:hAnsi="Calibri" w:cs="Calibri"/>
                <w:sz w:val="24"/>
                <w:szCs w:val="24"/>
              </w:rPr>
            </w:pPr>
            <w:r w:rsidRPr="00201C6C">
              <w:rPr>
                <w:rFonts w:ascii="Calibri" w:hAnsi="Calibri" w:cs="Calibri"/>
                <w:sz w:val="24"/>
                <w:szCs w:val="24"/>
              </w:rPr>
              <w:lastRenderedPageBreak/>
              <w:t>At least 8 years of experience in development, capacity building in gender mainstreaming, management and monitoring of gender programs.</w:t>
            </w:r>
          </w:p>
          <w:p w14:paraId="6C6E2AF7" w14:textId="77777777" w:rsidR="003E71C2" w:rsidRPr="00201C6C" w:rsidRDefault="003E71C2" w:rsidP="00C75DE3">
            <w:pPr>
              <w:pStyle w:val="ListParagraph"/>
              <w:numPr>
                <w:ilvl w:val="0"/>
                <w:numId w:val="5"/>
              </w:numPr>
              <w:spacing w:after="160"/>
              <w:ind w:left="1184" w:hanging="567"/>
              <w:jc w:val="both"/>
              <w:rPr>
                <w:rFonts w:ascii="Calibri" w:hAnsi="Calibri" w:cs="Calibri"/>
                <w:sz w:val="24"/>
                <w:szCs w:val="24"/>
              </w:rPr>
            </w:pPr>
            <w:r w:rsidRPr="00201C6C">
              <w:rPr>
                <w:rFonts w:ascii="Calibri" w:hAnsi="Calibri" w:cs="Calibri"/>
                <w:sz w:val="24"/>
                <w:szCs w:val="24"/>
              </w:rPr>
              <w:t>Masters degree in gender studies, development studies, development economics or other relevant social science subject.</w:t>
            </w:r>
          </w:p>
          <w:p w14:paraId="59732A35" w14:textId="77777777" w:rsidR="003E71C2" w:rsidRPr="00201C6C" w:rsidRDefault="003E71C2" w:rsidP="00C75DE3">
            <w:pPr>
              <w:pStyle w:val="ListParagraph"/>
              <w:numPr>
                <w:ilvl w:val="0"/>
                <w:numId w:val="5"/>
              </w:numPr>
              <w:spacing w:after="160"/>
              <w:ind w:left="1184" w:hanging="567"/>
              <w:jc w:val="both"/>
              <w:rPr>
                <w:rFonts w:ascii="Calibri" w:hAnsi="Calibri" w:cs="Calibri"/>
                <w:sz w:val="24"/>
                <w:szCs w:val="24"/>
              </w:rPr>
            </w:pPr>
            <w:r w:rsidRPr="00201C6C">
              <w:rPr>
                <w:rFonts w:ascii="Calibri" w:hAnsi="Calibri" w:cs="Calibri"/>
                <w:sz w:val="24"/>
                <w:szCs w:val="24"/>
              </w:rPr>
              <w:t>An in-depth understanding of gender in public and private sector development.</w:t>
            </w:r>
          </w:p>
          <w:p w14:paraId="3227236C" w14:textId="60323D0E" w:rsidR="003E71C2" w:rsidRPr="00201C6C" w:rsidRDefault="003E71C2" w:rsidP="00C75DE3">
            <w:pPr>
              <w:pStyle w:val="ListParagraph"/>
              <w:numPr>
                <w:ilvl w:val="0"/>
                <w:numId w:val="5"/>
              </w:numPr>
              <w:spacing w:after="160"/>
              <w:ind w:left="1184" w:hanging="567"/>
              <w:jc w:val="both"/>
              <w:rPr>
                <w:rFonts w:ascii="Calibri" w:hAnsi="Calibri" w:cs="Calibri"/>
                <w:sz w:val="24"/>
                <w:szCs w:val="24"/>
              </w:rPr>
            </w:pPr>
            <w:r w:rsidRPr="00201C6C">
              <w:rPr>
                <w:rFonts w:ascii="Calibri" w:hAnsi="Calibri" w:cs="Calibri"/>
                <w:sz w:val="24"/>
                <w:szCs w:val="24"/>
              </w:rPr>
              <w:t xml:space="preserve">Demonstrated capacity to deliver </w:t>
            </w:r>
            <w:r w:rsidR="00A0516A" w:rsidRPr="00201C6C">
              <w:rPr>
                <w:rFonts w:ascii="Calibri" w:hAnsi="Calibri" w:cs="Calibri"/>
                <w:sz w:val="24"/>
                <w:szCs w:val="24"/>
              </w:rPr>
              <w:t>on</w:t>
            </w:r>
            <w:r w:rsidRPr="00201C6C">
              <w:rPr>
                <w:rFonts w:ascii="Calibri" w:hAnsi="Calibri" w:cs="Calibri"/>
                <w:sz w:val="24"/>
                <w:szCs w:val="24"/>
              </w:rPr>
              <w:t xml:space="preserve"> set timelines.</w:t>
            </w:r>
          </w:p>
          <w:p w14:paraId="2286BCDB" w14:textId="77777777" w:rsidR="003E71C2" w:rsidRPr="00201C6C" w:rsidRDefault="003E71C2" w:rsidP="00C75DE3">
            <w:pPr>
              <w:pStyle w:val="ListParagraph"/>
              <w:numPr>
                <w:ilvl w:val="0"/>
                <w:numId w:val="5"/>
              </w:numPr>
              <w:spacing w:after="160"/>
              <w:ind w:left="1184" w:hanging="567"/>
              <w:jc w:val="both"/>
              <w:rPr>
                <w:rFonts w:ascii="Calibri" w:hAnsi="Calibri" w:cs="Calibri"/>
                <w:sz w:val="24"/>
                <w:szCs w:val="24"/>
              </w:rPr>
            </w:pPr>
            <w:r w:rsidRPr="00201C6C">
              <w:rPr>
                <w:rFonts w:ascii="Calibri" w:hAnsi="Calibri" w:cs="Calibri"/>
                <w:sz w:val="24"/>
                <w:szCs w:val="24"/>
              </w:rPr>
              <w:t>Fluency in written and spoken English.</w:t>
            </w:r>
          </w:p>
          <w:p w14:paraId="0732007C" w14:textId="77777777" w:rsidR="00CC5A6A" w:rsidRPr="00C661F4" w:rsidRDefault="00CC5A6A" w:rsidP="00CC5A6A">
            <w:pPr>
              <w:spacing w:after="0"/>
              <w:jc w:val="both"/>
              <w:rPr>
                <w:rFonts w:ascii="Calibri" w:hAnsi="Calibri" w:cs="Calibri"/>
                <w:b/>
                <w:bCs/>
                <w:color w:val="000000"/>
                <w:sz w:val="24"/>
                <w:szCs w:val="24"/>
              </w:rPr>
            </w:pPr>
            <w:bookmarkStart w:id="1" w:name="_Hlk42067932"/>
          </w:p>
          <w:p w14:paraId="244940A8" w14:textId="77777777" w:rsidR="00CC5A6A" w:rsidRPr="00C661F4" w:rsidRDefault="00CC5A6A" w:rsidP="00CC5A6A">
            <w:pPr>
              <w:jc w:val="both"/>
              <w:rPr>
                <w:b/>
                <w:bCs/>
                <w:sz w:val="24"/>
                <w:szCs w:val="24"/>
              </w:rPr>
            </w:pPr>
            <w:r w:rsidRPr="00C661F4">
              <w:rPr>
                <w:b/>
                <w:bCs/>
                <w:sz w:val="24"/>
                <w:szCs w:val="24"/>
              </w:rPr>
              <w:t xml:space="preserve">9 </w:t>
            </w:r>
            <w:r w:rsidRPr="00C661F4">
              <w:rPr>
                <w:b/>
                <w:bCs/>
                <w:sz w:val="24"/>
                <w:szCs w:val="24"/>
              </w:rPr>
              <w:tab/>
              <w:t>IDBZ Contacts and Provision of Information</w:t>
            </w:r>
          </w:p>
          <w:p w14:paraId="29423BEF" w14:textId="77777777" w:rsidR="00CC5A6A" w:rsidRPr="00C661F4" w:rsidRDefault="00CC5A6A" w:rsidP="00CC5A6A">
            <w:pPr>
              <w:ind w:left="720" w:hanging="720"/>
              <w:jc w:val="both"/>
              <w:rPr>
                <w:rFonts w:ascii="Calibri" w:hAnsi="Calibri" w:cs="Calibri"/>
                <w:color w:val="000000"/>
                <w:sz w:val="24"/>
                <w:szCs w:val="24"/>
              </w:rPr>
            </w:pPr>
            <w:r w:rsidRPr="00C661F4">
              <w:rPr>
                <w:sz w:val="24"/>
                <w:szCs w:val="24"/>
              </w:rPr>
              <w:t xml:space="preserve">9.1 </w:t>
            </w:r>
            <w:r w:rsidRPr="00C661F4">
              <w:rPr>
                <w:sz w:val="24"/>
                <w:szCs w:val="24"/>
              </w:rPr>
              <w:tab/>
              <w:t>The Consultant will be accountable to</w:t>
            </w:r>
            <w:r w:rsidRPr="00C661F4">
              <w:rPr>
                <w:rFonts w:ascii="Calibri" w:hAnsi="Calibri" w:cs="Calibri"/>
                <w:color w:val="000000"/>
                <w:sz w:val="24"/>
                <w:szCs w:val="24"/>
              </w:rPr>
              <w:t xml:space="preserve"> the IDBZ through the Bank’s Climate Finance and Sustainability Division and will work closely with the Bank’s Principal Gender Experts and Chief Human Resources Officer.</w:t>
            </w:r>
          </w:p>
          <w:p w14:paraId="6D01FD90" w14:textId="77777777" w:rsidR="00CC5A6A" w:rsidRPr="00CF5214" w:rsidRDefault="00CC5A6A" w:rsidP="00CC5A6A">
            <w:pPr>
              <w:ind w:left="720" w:hanging="720"/>
              <w:jc w:val="both"/>
              <w:rPr>
                <w:sz w:val="24"/>
                <w:szCs w:val="24"/>
              </w:rPr>
            </w:pPr>
            <w:r w:rsidRPr="00C661F4">
              <w:rPr>
                <w:sz w:val="24"/>
                <w:szCs w:val="24"/>
              </w:rPr>
              <w:t xml:space="preserve">9.2 </w:t>
            </w:r>
            <w:r w:rsidRPr="00C661F4">
              <w:rPr>
                <w:sz w:val="24"/>
                <w:szCs w:val="24"/>
              </w:rPr>
              <w:tab/>
              <w:t>The IDBZ will</w:t>
            </w:r>
            <w:r w:rsidRPr="00C661F4">
              <w:rPr>
                <w:rFonts w:ascii="Calibri" w:hAnsi="Calibri" w:cs="Calibri"/>
                <w:color w:val="000000"/>
                <w:sz w:val="24"/>
                <w:szCs w:val="24"/>
              </w:rPr>
              <w:t xml:space="preserve"> avail the recently concluded Gender Audit Report and all Bank policies and instruments put in place to ensure gender mainstreaming and integration within the Bank. The Bank will also avail reports which highlight how gender is being mainstreamed in projects design, preparation, </w:t>
            </w:r>
            <w:proofErr w:type="gramStart"/>
            <w:r w:rsidRPr="00C661F4">
              <w:rPr>
                <w:rFonts w:ascii="Calibri" w:hAnsi="Calibri" w:cs="Calibri"/>
                <w:color w:val="000000"/>
                <w:sz w:val="24"/>
                <w:szCs w:val="24"/>
              </w:rPr>
              <w:t>appraisal</w:t>
            </w:r>
            <w:proofErr w:type="gramEnd"/>
            <w:r w:rsidRPr="00C661F4">
              <w:rPr>
                <w:rFonts w:ascii="Calibri" w:hAnsi="Calibri" w:cs="Calibri"/>
                <w:color w:val="000000"/>
                <w:sz w:val="24"/>
                <w:szCs w:val="24"/>
              </w:rPr>
              <w:t xml:space="preserve"> and implementation. </w:t>
            </w:r>
          </w:p>
          <w:p w14:paraId="2AE04CC9" w14:textId="77777777" w:rsidR="00DC4DAB" w:rsidRPr="00201C6C" w:rsidRDefault="00DC4DAB" w:rsidP="000F6EC8">
            <w:pPr>
              <w:spacing w:after="0"/>
              <w:jc w:val="both"/>
              <w:rPr>
                <w:rFonts w:ascii="Calibri" w:hAnsi="Calibri" w:cs="Calibri"/>
                <w:color w:val="000000"/>
                <w:sz w:val="24"/>
                <w:szCs w:val="24"/>
              </w:rPr>
            </w:pPr>
          </w:p>
          <w:p w14:paraId="02018A63" w14:textId="77777777" w:rsidR="000F6EC8" w:rsidRPr="00201C6C" w:rsidRDefault="000F6EC8" w:rsidP="000F6EC8">
            <w:pPr>
              <w:spacing w:after="0"/>
              <w:jc w:val="both"/>
              <w:rPr>
                <w:rFonts w:ascii="Calibri" w:hAnsi="Calibri" w:cs="Calibri"/>
                <w:b/>
                <w:bCs/>
                <w:sz w:val="24"/>
                <w:szCs w:val="24"/>
              </w:rPr>
            </w:pPr>
            <w:r w:rsidRPr="00201C6C">
              <w:rPr>
                <w:rFonts w:ascii="Calibri" w:hAnsi="Calibri" w:cs="Calibri"/>
                <w:b/>
                <w:bCs/>
                <w:sz w:val="24"/>
                <w:szCs w:val="24"/>
              </w:rPr>
              <w:t xml:space="preserve">10 </w:t>
            </w:r>
            <w:r w:rsidRPr="00201C6C">
              <w:rPr>
                <w:rFonts w:ascii="Calibri" w:hAnsi="Calibri" w:cs="Calibri"/>
                <w:b/>
                <w:bCs/>
                <w:sz w:val="24"/>
                <w:szCs w:val="24"/>
              </w:rPr>
              <w:tab/>
              <w:t>Proposal submission</w:t>
            </w:r>
          </w:p>
          <w:p w14:paraId="5EF5EC6F" w14:textId="3ABC8E55" w:rsidR="00FD1CD5" w:rsidRPr="00201C6C" w:rsidRDefault="000F6EC8" w:rsidP="00294F49">
            <w:pPr>
              <w:spacing w:after="0"/>
              <w:ind w:left="720" w:hanging="720"/>
              <w:jc w:val="both"/>
              <w:rPr>
                <w:rFonts w:ascii="Calibri" w:eastAsia="Times New Roman" w:hAnsi="Calibri" w:cs="Calibri"/>
                <w:sz w:val="24"/>
                <w:szCs w:val="24"/>
              </w:rPr>
            </w:pPr>
            <w:r w:rsidRPr="00201C6C">
              <w:rPr>
                <w:rFonts w:ascii="Calibri" w:eastAsia="Times New Roman" w:hAnsi="Calibri" w:cs="Calibri"/>
                <w:sz w:val="24"/>
                <w:szCs w:val="24"/>
              </w:rPr>
              <w:t xml:space="preserve">10.1 </w:t>
            </w:r>
            <w:r w:rsidRPr="00201C6C">
              <w:rPr>
                <w:rFonts w:ascii="Calibri" w:eastAsia="Times New Roman" w:hAnsi="Calibri" w:cs="Calibri"/>
                <w:sz w:val="24"/>
                <w:szCs w:val="24"/>
              </w:rPr>
              <w:tab/>
              <w:t>Proposals, with reference “</w:t>
            </w:r>
            <w:r w:rsidRPr="00201C6C">
              <w:rPr>
                <w:rFonts w:ascii="Calibri" w:eastAsia="Times New Roman" w:hAnsi="Calibri" w:cs="Calibri"/>
                <w:b/>
                <w:bCs/>
                <w:i/>
                <w:iCs/>
                <w:sz w:val="24"/>
                <w:szCs w:val="24"/>
              </w:rPr>
              <w:t>IDB</w:t>
            </w:r>
            <w:r w:rsidRPr="00CC5A6A">
              <w:rPr>
                <w:rFonts w:ascii="Calibri" w:eastAsia="Times New Roman" w:hAnsi="Calibri" w:cs="Calibri"/>
                <w:b/>
                <w:bCs/>
                <w:i/>
                <w:iCs/>
                <w:sz w:val="24"/>
                <w:szCs w:val="24"/>
              </w:rPr>
              <w:t>Z Gender Staff Training Proposal</w:t>
            </w:r>
            <w:r w:rsidRPr="00CC5A6A">
              <w:rPr>
                <w:rFonts w:ascii="Calibri" w:eastAsia="Times New Roman" w:hAnsi="Calibri" w:cs="Calibri"/>
                <w:sz w:val="24"/>
                <w:szCs w:val="24"/>
              </w:rPr>
              <w:t xml:space="preserve">”, must be sent electronically to </w:t>
            </w:r>
            <w:hyperlink r:id="rId8" w:history="1">
              <w:r w:rsidR="00DC4DAB" w:rsidRPr="00CC5A6A">
                <w:rPr>
                  <w:rStyle w:val="Hyperlink"/>
                  <w:rFonts w:ascii="Calibri" w:eastAsia="Times New Roman" w:hAnsi="Calibri" w:cs="Calibri"/>
                  <w:sz w:val="24"/>
                  <w:szCs w:val="24"/>
                  <w:lang w:val="en-US"/>
                </w:rPr>
                <w:t>procurement@idbz.co.zw</w:t>
              </w:r>
            </w:hyperlink>
            <w:r w:rsidR="00DC4DAB" w:rsidRPr="00CC5A6A">
              <w:rPr>
                <w:rFonts w:ascii="Calibri" w:eastAsia="Times New Roman" w:hAnsi="Calibri" w:cs="Calibri"/>
                <w:sz w:val="24"/>
                <w:szCs w:val="24"/>
              </w:rPr>
              <w:t xml:space="preserve"> </w:t>
            </w:r>
            <w:r w:rsidRPr="00CC5A6A">
              <w:rPr>
                <w:rFonts w:ascii="Calibri" w:eastAsia="Times New Roman" w:hAnsi="Calibri" w:cs="Calibri"/>
                <w:sz w:val="24"/>
                <w:szCs w:val="24"/>
              </w:rPr>
              <w:t xml:space="preserve">and copying </w:t>
            </w:r>
            <w:hyperlink r:id="rId9" w:history="1">
              <w:r w:rsidR="00DC4DAB" w:rsidRPr="00CC5A6A">
                <w:rPr>
                  <w:rStyle w:val="Hyperlink"/>
                  <w:rFonts w:ascii="Calibri" w:eastAsia="Times New Roman" w:hAnsi="Calibri" w:cs="Calibri"/>
                  <w:sz w:val="24"/>
                  <w:szCs w:val="24"/>
                </w:rPr>
                <w:t>s</w:t>
              </w:r>
              <w:r w:rsidR="00DC4DAB" w:rsidRPr="00CC5A6A">
                <w:rPr>
                  <w:rStyle w:val="Hyperlink"/>
                  <w:rFonts w:eastAsia="Times New Roman"/>
                  <w:sz w:val="24"/>
                  <w:szCs w:val="24"/>
                </w:rPr>
                <w:t>shekede@idbz.co.zw</w:t>
              </w:r>
            </w:hyperlink>
            <w:r w:rsidRPr="00CC5A6A">
              <w:rPr>
                <w:rFonts w:ascii="Calibri" w:eastAsia="Times New Roman" w:hAnsi="Calibri" w:cs="Calibri"/>
                <w:sz w:val="24"/>
                <w:szCs w:val="24"/>
              </w:rPr>
              <w:t xml:space="preserve"> </w:t>
            </w:r>
            <w:r w:rsidR="00DC4DAB" w:rsidRPr="00CC5A6A">
              <w:rPr>
                <w:rFonts w:ascii="Calibri" w:eastAsia="Times New Roman" w:hAnsi="Calibri" w:cs="Calibri"/>
                <w:sz w:val="24"/>
                <w:szCs w:val="24"/>
              </w:rPr>
              <w:t xml:space="preserve">and </w:t>
            </w:r>
            <w:hyperlink r:id="rId10" w:history="1">
              <w:r w:rsidR="00DC4DAB" w:rsidRPr="00CC5A6A">
                <w:rPr>
                  <w:rStyle w:val="Hyperlink"/>
                  <w:rFonts w:ascii="Calibri" w:eastAsia="Times New Roman" w:hAnsi="Calibri" w:cs="Calibri"/>
                  <w:sz w:val="24"/>
                  <w:szCs w:val="24"/>
                </w:rPr>
                <w:t>lmachanzi@idbz.co.zw</w:t>
              </w:r>
            </w:hyperlink>
            <w:r w:rsidR="00DC4DAB" w:rsidRPr="00CC5A6A">
              <w:rPr>
                <w:rFonts w:ascii="Calibri" w:eastAsia="Times New Roman" w:hAnsi="Calibri" w:cs="Calibri"/>
                <w:sz w:val="24"/>
                <w:szCs w:val="24"/>
              </w:rPr>
              <w:t xml:space="preserve"> </w:t>
            </w:r>
            <w:r w:rsidRPr="00CC5A6A">
              <w:rPr>
                <w:rFonts w:ascii="Calibri" w:eastAsia="Times New Roman" w:hAnsi="Calibri" w:cs="Calibri"/>
                <w:sz w:val="24"/>
                <w:szCs w:val="24"/>
              </w:rPr>
              <w:t xml:space="preserve">by no later than 1300hrs on </w:t>
            </w:r>
            <w:r w:rsidR="00DC4DAB" w:rsidRPr="00CC5A6A">
              <w:rPr>
                <w:rFonts w:ascii="Calibri" w:eastAsia="Times New Roman" w:hAnsi="Calibri" w:cs="Calibri"/>
                <w:sz w:val="24"/>
                <w:szCs w:val="24"/>
              </w:rPr>
              <w:t>1</w:t>
            </w:r>
            <w:r w:rsidR="00990F14">
              <w:rPr>
                <w:rFonts w:ascii="Calibri" w:eastAsia="Times New Roman" w:hAnsi="Calibri" w:cs="Calibri"/>
                <w:sz w:val="24"/>
                <w:szCs w:val="24"/>
              </w:rPr>
              <w:t>6</w:t>
            </w:r>
            <w:r w:rsidR="00105940" w:rsidRPr="00CC5A6A">
              <w:rPr>
                <w:rFonts w:ascii="Calibri" w:eastAsia="Times New Roman" w:hAnsi="Calibri" w:cs="Calibri"/>
                <w:sz w:val="24"/>
                <w:szCs w:val="24"/>
              </w:rPr>
              <w:t xml:space="preserve"> Ju</w:t>
            </w:r>
            <w:r w:rsidR="00105940" w:rsidRPr="00201C6C">
              <w:rPr>
                <w:rFonts w:ascii="Calibri" w:eastAsia="Times New Roman" w:hAnsi="Calibri" w:cs="Calibri"/>
                <w:sz w:val="24"/>
                <w:szCs w:val="24"/>
              </w:rPr>
              <w:t>ne</w:t>
            </w:r>
            <w:r w:rsidRPr="00201C6C">
              <w:rPr>
                <w:rFonts w:ascii="Calibri" w:eastAsia="Times New Roman" w:hAnsi="Calibri" w:cs="Calibri"/>
                <w:sz w:val="24"/>
                <w:szCs w:val="24"/>
              </w:rPr>
              <w:t xml:space="preserve"> 2020.</w:t>
            </w:r>
            <w:bookmarkEnd w:id="1"/>
          </w:p>
        </w:tc>
      </w:tr>
      <w:tr w:rsidR="0068761F" w:rsidRPr="00201C6C" w14:paraId="3A5E37E4" w14:textId="77777777" w:rsidTr="00201C6C">
        <w:trPr>
          <w:trHeight w:val="58"/>
        </w:trPr>
        <w:tc>
          <w:tcPr>
            <w:tcW w:w="10030" w:type="dxa"/>
          </w:tcPr>
          <w:p w14:paraId="33B1783B" w14:textId="77777777" w:rsidR="0068761F" w:rsidRPr="00201C6C" w:rsidRDefault="0068761F" w:rsidP="0068761F">
            <w:pPr>
              <w:jc w:val="both"/>
              <w:rPr>
                <w:rFonts w:ascii="Calibri" w:hAnsi="Calibri" w:cs="Calibri"/>
                <w:b/>
                <w:bCs/>
                <w:sz w:val="24"/>
                <w:szCs w:val="24"/>
              </w:rPr>
            </w:pPr>
          </w:p>
        </w:tc>
      </w:tr>
    </w:tbl>
    <w:p w14:paraId="36E2B10E" w14:textId="77777777" w:rsidR="00941B32" w:rsidRPr="00201C6C" w:rsidRDefault="00941B32" w:rsidP="009320FD">
      <w:pPr>
        <w:spacing w:after="0"/>
        <w:rPr>
          <w:rFonts w:ascii="Calibri" w:hAnsi="Calibri" w:cs="Calibri"/>
          <w:b/>
          <w:sz w:val="24"/>
          <w:szCs w:val="24"/>
        </w:rPr>
      </w:pPr>
    </w:p>
    <w:sectPr w:rsidR="00941B32" w:rsidRPr="00201C6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73D9E" w14:textId="77777777" w:rsidR="002F78E7" w:rsidRDefault="002F78E7" w:rsidP="00A14D83">
      <w:pPr>
        <w:spacing w:after="0" w:line="240" w:lineRule="auto"/>
      </w:pPr>
      <w:r>
        <w:separator/>
      </w:r>
    </w:p>
  </w:endnote>
  <w:endnote w:type="continuationSeparator" w:id="0">
    <w:p w14:paraId="10DA56D5" w14:textId="77777777" w:rsidR="002F78E7" w:rsidRDefault="002F78E7" w:rsidP="00A14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343C3" w14:textId="77777777" w:rsidR="0064102E" w:rsidRDefault="00641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6137131"/>
      <w:docPartObj>
        <w:docPartGallery w:val="Page Numbers (Bottom of Page)"/>
        <w:docPartUnique/>
      </w:docPartObj>
    </w:sdtPr>
    <w:sdtEndPr/>
    <w:sdtContent>
      <w:sdt>
        <w:sdtPr>
          <w:id w:val="1728636285"/>
          <w:docPartObj>
            <w:docPartGallery w:val="Page Numbers (Top of Page)"/>
            <w:docPartUnique/>
          </w:docPartObj>
        </w:sdtPr>
        <w:sdtEndPr/>
        <w:sdtContent>
          <w:p w14:paraId="514792BB" w14:textId="77777777" w:rsidR="00CF0B2C" w:rsidRDefault="00CF0B2C">
            <w:pPr>
              <w:pStyle w:val="Footer"/>
              <w:jc w:val="center"/>
            </w:pPr>
            <w:r w:rsidRPr="0064102E">
              <w:rPr>
                <w:rFonts w:cstheme="minorHAnsi"/>
                <w:sz w:val="24"/>
                <w:szCs w:val="24"/>
              </w:rPr>
              <w:t xml:space="preserve">Page </w:t>
            </w:r>
            <w:r w:rsidRPr="0064102E">
              <w:rPr>
                <w:rFonts w:cstheme="minorHAnsi"/>
                <w:b/>
                <w:bCs/>
                <w:sz w:val="24"/>
                <w:szCs w:val="24"/>
              </w:rPr>
              <w:fldChar w:fldCharType="begin"/>
            </w:r>
            <w:r w:rsidRPr="0064102E">
              <w:rPr>
                <w:rFonts w:cstheme="minorHAnsi"/>
                <w:b/>
                <w:bCs/>
                <w:sz w:val="24"/>
                <w:szCs w:val="24"/>
              </w:rPr>
              <w:instrText xml:space="preserve"> PAGE </w:instrText>
            </w:r>
            <w:r w:rsidRPr="0064102E">
              <w:rPr>
                <w:rFonts w:cstheme="minorHAnsi"/>
                <w:b/>
                <w:bCs/>
                <w:sz w:val="24"/>
                <w:szCs w:val="24"/>
              </w:rPr>
              <w:fldChar w:fldCharType="separate"/>
            </w:r>
            <w:r w:rsidRPr="0064102E">
              <w:rPr>
                <w:rFonts w:cstheme="minorHAnsi"/>
                <w:b/>
                <w:bCs/>
                <w:noProof/>
                <w:sz w:val="24"/>
                <w:szCs w:val="24"/>
              </w:rPr>
              <w:t>2</w:t>
            </w:r>
            <w:r w:rsidRPr="0064102E">
              <w:rPr>
                <w:rFonts w:cstheme="minorHAnsi"/>
                <w:b/>
                <w:bCs/>
                <w:sz w:val="24"/>
                <w:szCs w:val="24"/>
              </w:rPr>
              <w:fldChar w:fldCharType="end"/>
            </w:r>
            <w:r w:rsidRPr="0064102E">
              <w:rPr>
                <w:rFonts w:cstheme="minorHAnsi"/>
                <w:sz w:val="24"/>
                <w:szCs w:val="24"/>
              </w:rPr>
              <w:t xml:space="preserve"> of </w:t>
            </w:r>
            <w:r w:rsidRPr="0064102E">
              <w:rPr>
                <w:rFonts w:cstheme="minorHAnsi"/>
                <w:b/>
                <w:bCs/>
                <w:sz w:val="24"/>
                <w:szCs w:val="24"/>
              </w:rPr>
              <w:fldChar w:fldCharType="begin"/>
            </w:r>
            <w:r w:rsidRPr="0064102E">
              <w:rPr>
                <w:rFonts w:cstheme="minorHAnsi"/>
                <w:b/>
                <w:bCs/>
                <w:sz w:val="24"/>
                <w:szCs w:val="24"/>
              </w:rPr>
              <w:instrText xml:space="preserve"> NUMPAGES  </w:instrText>
            </w:r>
            <w:r w:rsidRPr="0064102E">
              <w:rPr>
                <w:rFonts w:cstheme="minorHAnsi"/>
                <w:b/>
                <w:bCs/>
                <w:sz w:val="24"/>
                <w:szCs w:val="24"/>
              </w:rPr>
              <w:fldChar w:fldCharType="separate"/>
            </w:r>
            <w:r w:rsidRPr="0064102E">
              <w:rPr>
                <w:rFonts w:cstheme="minorHAnsi"/>
                <w:b/>
                <w:bCs/>
                <w:noProof/>
                <w:sz w:val="24"/>
                <w:szCs w:val="24"/>
              </w:rPr>
              <w:t>2</w:t>
            </w:r>
            <w:r w:rsidRPr="0064102E">
              <w:rPr>
                <w:rFonts w:cstheme="minorHAnsi"/>
                <w:b/>
                <w:bCs/>
                <w:sz w:val="24"/>
                <w:szCs w:val="24"/>
              </w:rPr>
              <w:fldChar w:fldCharType="end"/>
            </w:r>
          </w:p>
        </w:sdtContent>
      </w:sdt>
    </w:sdtContent>
  </w:sdt>
  <w:p w14:paraId="41D4F47D" w14:textId="77777777" w:rsidR="00812550" w:rsidRDefault="00812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5BB0E" w14:textId="77777777" w:rsidR="0064102E" w:rsidRDefault="0064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18937" w14:textId="77777777" w:rsidR="002F78E7" w:rsidRDefault="002F78E7" w:rsidP="00A14D83">
      <w:pPr>
        <w:spacing w:after="0" w:line="240" w:lineRule="auto"/>
      </w:pPr>
      <w:r>
        <w:separator/>
      </w:r>
    </w:p>
  </w:footnote>
  <w:footnote w:type="continuationSeparator" w:id="0">
    <w:p w14:paraId="040371F9" w14:textId="77777777" w:rsidR="002F78E7" w:rsidRDefault="002F78E7" w:rsidP="00A14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3AFC1" w14:textId="77777777" w:rsidR="0064102E" w:rsidRDefault="00641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A6335" w14:textId="77777777" w:rsidR="00A14D83" w:rsidRDefault="00A14D83">
    <w:pPr>
      <w:pStyle w:val="Header"/>
    </w:pPr>
    <w:r>
      <w:ptab w:relativeTo="margin" w:alignment="center" w:leader="none"/>
    </w:r>
    <w:r>
      <w:rPr>
        <w:noProof/>
        <w:lang w:eastAsia="en-ZW"/>
      </w:rPr>
      <w:drawing>
        <wp:inline distT="0" distB="0" distL="0" distR="0" wp14:anchorId="43CB4977" wp14:editId="68CE211C">
          <wp:extent cx="1533525" cy="1019792"/>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647" cy="1065758"/>
                  </a:xfrm>
                  <a:prstGeom prst="rect">
                    <a:avLst/>
                  </a:prstGeom>
                  <a:noFill/>
                </pic:spPr>
              </pic:pic>
            </a:graphicData>
          </a:graphic>
        </wp:inline>
      </w:drawing>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0F1EB" w14:textId="77777777" w:rsidR="0064102E" w:rsidRDefault="00641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9511B"/>
    <w:multiLevelType w:val="hybridMultilevel"/>
    <w:tmpl w:val="68BEB95C"/>
    <w:lvl w:ilvl="0" w:tplc="04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23676BD7"/>
    <w:multiLevelType w:val="multilevel"/>
    <w:tmpl w:val="D2FCB6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D9075F"/>
    <w:multiLevelType w:val="hybridMultilevel"/>
    <w:tmpl w:val="9B9E9032"/>
    <w:lvl w:ilvl="0" w:tplc="3C32A612">
      <w:start w:val="1"/>
      <w:numFmt w:val="decimal"/>
      <w:lvlText w:val="%1."/>
      <w:lvlJc w:val="left"/>
      <w:pPr>
        <w:ind w:left="720" w:hanging="360"/>
      </w:pPr>
      <w:rPr>
        <w:rFonts w:hint="default"/>
        <w:b/>
        <w:bCs/>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71A4494"/>
    <w:multiLevelType w:val="multilevel"/>
    <w:tmpl w:val="5FA0D5F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797050"/>
    <w:multiLevelType w:val="hybridMultilevel"/>
    <w:tmpl w:val="DB80397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36AD4298"/>
    <w:multiLevelType w:val="multilevel"/>
    <w:tmpl w:val="F48073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707FED"/>
    <w:multiLevelType w:val="hybridMultilevel"/>
    <w:tmpl w:val="D42E7E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413E3966"/>
    <w:multiLevelType w:val="multilevel"/>
    <w:tmpl w:val="85A6B5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1C19E8"/>
    <w:multiLevelType w:val="hybridMultilevel"/>
    <w:tmpl w:val="1D941472"/>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9" w15:restartNumberingAfterBreak="0">
    <w:nsid w:val="600F61A9"/>
    <w:multiLevelType w:val="multilevel"/>
    <w:tmpl w:val="BDF62B06"/>
    <w:lvl w:ilvl="0">
      <w:start w:val="4"/>
      <w:numFmt w:val="decimal"/>
      <w:lvlText w:val="%1"/>
      <w:lvlJc w:val="left"/>
      <w:pPr>
        <w:ind w:left="480" w:hanging="480"/>
      </w:pPr>
      <w:rPr>
        <w:rFonts w:eastAsiaTheme="minorHAnsi" w:cstheme="minorBidi" w:hint="default"/>
        <w:color w:val="auto"/>
      </w:rPr>
    </w:lvl>
    <w:lvl w:ilvl="1">
      <w:start w:val="1"/>
      <w:numFmt w:val="decimal"/>
      <w:lvlText w:val="%1.%2"/>
      <w:lvlJc w:val="left"/>
      <w:pPr>
        <w:ind w:left="480" w:hanging="48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10" w15:restartNumberingAfterBreak="0">
    <w:nsid w:val="7CCF5B5A"/>
    <w:multiLevelType w:val="hybridMultilevel"/>
    <w:tmpl w:val="CB923DC2"/>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0"/>
  </w:num>
  <w:num w:numId="6">
    <w:abstractNumId w:val="9"/>
  </w:num>
  <w:num w:numId="7">
    <w:abstractNumId w:val="4"/>
  </w:num>
  <w:num w:numId="8">
    <w:abstractNumId w:val="10"/>
  </w:num>
  <w:num w:numId="9">
    <w:abstractNumId w:val="8"/>
  </w:num>
  <w:num w:numId="10">
    <w:abstractNumId w:val="5"/>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CE"/>
    <w:rsid w:val="00023A69"/>
    <w:rsid w:val="00026E2E"/>
    <w:rsid w:val="0005383D"/>
    <w:rsid w:val="00063060"/>
    <w:rsid w:val="00084E8B"/>
    <w:rsid w:val="00093D9B"/>
    <w:rsid w:val="000B0C8B"/>
    <w:rsid w:val="000B14D3"/>
    <w:rsid w:val="000B3953"/>
    <w:rsid w:val="000B771B"/>
    <w:rsid w:val="000C29F9"/>
    <w:rsid w:val="000D24E8"/>
    <w:rsid w:val="000D674C"/>
    <w:rsid w:val="000F6EC8"/>
    <w:rsid w:val="00104635"/>
    <w:rsid w:val="00105940"/>
    <w:rsid w:val="001063F9"/>
    <w:rsid w:val="001314B8"/>
    <w:rsid w:val="001318EA"/>
    <w:rsid w:val="00145493"/>
    <w:rsid w:val="001460F5"/>
    <w:rsid w:val="001654F1"/>
    <w:rsid w:val="001A73EF"/>
    <w:rsid w:val="001D15C0"/>
    <w:rsid w:val="001E0636"/>
    <w:rsid w:val="001E3465"/>
    <w:rsid w:val="00201A84"/>
    <w:rsid w:val="00201C6C"/>
    <w:rsid w:val="0021600D"/>
    <w:rsid w:val="00240330"/>
    <w:rsid w:val="00251021"/>
    <w:rsid w:val="00261728"/>
    <w:rsid w:val="002747AF"/>
    <w:rsid w:val="002769CC"/>
    <w:rsid w:val="00276F87"/>
    <w:rsid w:val="0028584C"/>
    <w:rsid w:val="00291B19"/>
    <w:rsid w:val="00294F49"/>
    <w:rsid w:val="002C344A"/>
    <w:rsid w:val="002C6E23"/>
    <w:rsid w:val="002E53A3"/>
    <w:rsid w:val="002E633D"/>
    <w:rsid w:val="002F78E7"/>
    <w:rsid w:val="0030361B"/>
    <w:rsid w:val="00311024"/>
    <w:rsid w:val="0031517B"/>
    <w:rsid w:val="00324CCA"/>
    <w:rsid w:val="003409FF"/>
    <w:rsid w:val="00341879"/>
    <w:rsid w:val="00343614"/>
    <w:rsid w:val="00345253"/>
    <w:rsid w:val="00354152"/>
    <w:rsid w:val="00367DFF"/>
    <w:rsid w:val="00376ADD"/>
    <w:rsid w:val="00383AE5"/>
    <w:rsid w:val="00384264"/>
    <w:rsid w:val="003A20F9"/>
    <w:rsid w:val="003C349F"/>
    <w:rsid w:val="003D36D0"/>
    <w:rsid w:val="003E71C2"/>
    <w:rsid w:val="0040496E"/>
    <w:rsid w:val="0040590A"/>
    <w:rsid w:val="004068EF"/>
    <w:rsid w:val="0041473E"/>
    <w:rsid w:val="004260BE"/>
    <w:rsid w:val="00451C51"/>
    <w:rsid w:val="00462C44"/>
    <w:rsid w:val="00463792"/>
    <w:rsid w:val="00474A2E"/>
    <w:rsid w:val="004767D2"/>
    <w:rsid w:val="00482E4E"/>
    <w:rsid w:val="004975FD"/>
    <w:rsid w:val="004B4F9F"/>
    <w:rsid w:val="004B7DF8"/>
    <w:rsid w:val="004C3B72"/>
    <w:rsid w:val="004C63B6"/>
    <w:rsid w:val="004F6EB9"/>
    <w:rsid w:val="00523A09"/>
    <w:rsid w:val="005335F3"/>
    <w:rsid w:val="00551EE0"/>
    <w:rsid w:val="00560D23"/>
    <w:rsid w:val="0056527E"/>
    <w:rsid w:val="00570A54"/>
    <w:rsid w:val="005748F2"/>
    <w:rsid w:val="00597269"/>
    <w:rsid w:val="005A5FD4"/>
    <w:rsid w:val="005B040F"/>
    <w:rsid w:val="005B0C1D"/>
    <w:rsid w:val="005C0002"/>
    <w:rsid w:val="005C0B9B"/>
    <w:rsid w:val="005C4AA8"/>
    <w:rsid w:val="005E013C"/>
    <w:rsid w:val="005E4F7C"/>
    <w:rsid w:val="005F5E27"/>
    <w:rsid w:val="006100E7"/>
    <w:rsid w:val="00623B54"/>
    <w:rsid w:val="00626831"/>
    <w:rsid w:val="0063441D"/>
    <w:rsid w:val="0064102E"/>
    <w:rsid w:val="00645544"/>
    <w:rsid w:val="00647BB7"/>
    <w:rsid w:val="00656E64"/>
    <w:rsid w:val="00656FD4"/>
    <w:rsid w:val="0066576B"/>
    <w:rsid w:val="006666EB"/>
    <w:rsid w:val="00670D3C"/>
    <w:rsid w:val="006779A4"/>
    <w:rsid w:val="0068761F"/>
    <w:rsid w:val="0069292C"/>
    <w:rsid w:val="00695680"/>
    <w:rsid w:val="006A3C54"/>
    <w:rsid w:val="006A59C2"/>
    <w:rsid w:val="006B1A73"/>
    <w:rsid w:val="006B25E5"/>
    <w:rsid w:val="006C09C5"/>
    <w:rsid w:val="006C360E"/>
    <w:rsid w:val="006C7335"/>
    <w:rsid w:val="006D21B5"/>
    <w:rsid w:val="006F580D"/>
    <w:rsid w:val="00707EDA"/>
    <w:rsid w:val="0071066C"/>
    <w:rsid w:val="007123F2"/>
    <w:rsid w:val="007156D7"/>
    <w:rsid w:val="00715E22"/>
    <w:rsid w:val="007215FF"/>
    <w:rsid w:val="00743420"/>
    <w:rsid w:val="00743773"/>
    <w:rsid w:val="0074539E"/>
    <w:rsid w:val="0075244B"/>
    <w:rsid w:val="00760BCB"/>
    <w:rsid w:val="007658F5"/>
    <w:rsid w:val="00765DFE"/>
    <w:rsid w:val="00777810"/>
    <w:rsid w:val="0078491B"/>
    <w:rsid w:val="00785479"/>
    <w:rsid w:val="007868F6"/>
    <w:rsid w:val="00795A2F"/>
    <w:rsid w:val="007A5400"/>
    <w:rsid w:val="007A5D0B"/>
    <w:rsid w:val="007C6155"/>
    <w:rsid w:val="007D5094"/>
    <w:rsid w:val="007F55DD"/>
    <w:rsid w:val="00800534"/>
    <w:rsid w:val="008032C3"/>
    <w:rsid w:val="00812550"/>
    <w:rsid w:val="00817639"/>
    <w:rsid w:val="00841DED"/>
    <w:rsid w:val="00857278"/>
    <w:rsid w:val="00873244"/>
    <w:rsid w:val="00873CCB"/>
    <w:rsid w:val="008755D0"/>
    <w:rsid w:val="008876AD"/>
    <w:rsid w:val="0089671E"/>
    <w:rsid w:val="008A576B"/>
    <w:rsid w:val="008A7F37"/>
    <w:rsid w:val="008B77FD"/>
    <w:rsid w:val="008C08EC"/>
    <w:rsid w:val="0090320E"/>
    <w:rsid w:val="00903DED"/>
    <w:rsid w:val="009069A4"/>
    <w:rsid w:val="0092549F"/>
    <w:rsid w:val="009320FD"/>
    <w:rsid w:val="00934F6B"/>
    <w:rsid w:val="00940A99"/>
    <w:rsid w:val="00941B32"/>
    <w:rsid w:val="009422D9"/>
    <w:rsid w:val="00943092"/>
    <w:rsid w:val="0096775F"/>
    <w:rsid w:val="00975401"/>
    <w:rsid w:val="00985673"/>
    <w:rsid w:val="00990F14"/>
    <w:rsid w:val="00996FEE"/>
    <w:rsid w:val="009A62AE"/>
    <w:rsid w:val="009B2C4C"/>
    <w:rsid w:val="00A0131E"/>
    <w:rsid w:val="00A029CE"/>
    <w:rsid w:val="00A02BD2"/>
    <w:rsid w:val="00A0516A"/>
    <w:rsid w:val="00A06241"/>
    <w:rsid w:val="00A10007"/>
    <w:rsid w:val="00A11C8E"/>
    <w:rsid w:val="00A14D83"/>
    <w:rsid w:val="00A17AEA"/>
    <w:rsid w:val="00A20C49"/>
    <w:rsid w:val="00A21599"/>
    <w:rsid w:val="00A268B8"/>
    <w:rsid w:val="00A27257"/>
    <w:rsid w:val="00A407E0"/>
    <w:rsid w:val="00A50610"/>
    <w:rsid w:val="00A523CB"/>
    <w:rsid w:val="00A53063"/>
    <w:rsid w:val="00A575D2"/>
    <w:rsid w:val="00A63A8A"/>
    <w:rsid w:val="00A84AA9"/>
    <w:rsid w:val="00A84AD3"/>
    <w:rsid w:val="00AB0EC3"/>
    <w:rsid w:val="00AB0EFB"/>
    <w:rsid w:val="00AC4517"/>
    <w:rsid w:val="00AC5846"/>
    <w:rsid w:val="00AC7189"/>
    <w:rsid w:val="00AE0B1B"/>
    <w:rsid w:val="00AE53E6"/>
    <w:rsid w:val="00B01EA1"/>
    <w:rsid w:val="00B05666"/>
    <w:rsid w:val="00B2624D"/>
    <w:rsid w:val="00B41B94"/>
    <w:rsid w:val="00B41F07"/>
    <w:rsid w:val="00B618C4"/>
    <w:rsid w:val="00B65115"/>
    <w:rsid w:val="00B72364"/>
    <w:rsid w:val="00B76250"/>
    <w:rsid w:val="00B76551"/>
    <w:rsid w:val="00B97204"/>
    <w:rsid w:val="00BA4144"/>
    <w:rsid w:val="00BA5755"/>
    <w:rsid w:val="00BA76C1"/>
    <w:rsid w:val="00BB5AD2"/>
    <w:rsid w:val="00BD075F"/>
    <w:rsid w:val="00BD1E66"/>
    <w:rsid w:val="00BD64C6"/>
    <w:rsid w:val="00BE2077"/>
    <w:rsid w:val="00BF1A6C"/>
    <w:rsid w:val="00C10603"/>
    <w:rsid w:val="00C1433D"/>
    <w:rsid w:val="00C25822"/>
    <w:rsid w:val="00C32919"/>
    <w:rsid w:val="00C337E8"/>
    <w:rsid w:val="00C6604D"/>
    <w:rsid w:val="00C74D9B"/>
    <w:rsid w:val="00C75DE3"/>
    <w:rsid w:val="00C94B3F"/>
    <w:rsid w:val="00CB368F"/>
    <w:rsid w:val="00CB5DC4"/>
    <w:rsid w:val="00CC1C86"/>
    <w:rsid w:val="00CC3CEB"/>
    <w:rsid w:val="00CC5A6A"/>
    <w:rsid w:val="00CD1AAA"/>
    <w:rsid w:val="00CD1DBA"/>
    <w:rsid w:val="00CE0904"/>
    <w:rsid w:val="00CE0E8D"/>
    <w:rsid w:val="00CF0B2C"/>
    <w:rsid w:val="00D03137"/>
    <w:rsid w:val="00D2032B"/>
    <w:rsid w:val="00D204D9"/>
    <w:rsid w:val="00D45008"/>
    <w:rsid w:val="00D50C6D"/>
    <w:rsid w:val="00D60681"/>
    <w:rsid w:val="00D6271B"/>
    <w:rsid w:val="00D66400"/>
    <w:rsid w:val="00D9081B"/>
    <w:rsid w:val="00D963C9"/>
    <w:rsid w:val="00DB4975"/>
    <w:rsid w:val="00DC4DAB"/>
    <w:rsid w:val="00DC5A62"/>
    <w:rsid w:val="00DF4D21"/>
    <w:rsid w:val="00DF643D"/>
    <w:rsid w:val="00E05118"/>
    <w:rsid w:val="00E05605"/>
    <w:rsid w:val="00E056F5"/>
    <w:rsid w:val="00E41929"/>
    <w:rsid w:val="00E41A29"/>
    <w:rsid w:val="00E5262E"/>
    <w:rsid w:val="00E67BCC"/>
    <w:rsid w:val="00E70EA7"/>
    <w:rsid w:val="00E741A9"/>
    <w:rsid w:val="00E80CAA"/>
    <w:rsid w:val="00EA3CFA"/>
    <w:rsid w:val="00EC5785"/>
    <w:rsid w:val="00EC7CB2"/>
    <w:rsid w:val="00ED063B"/>
    <w:rsid w:val="00EF1C2D"/>
    <w:rsid w:val="00EF3B91"/>
    <w:rsid w:val="00F011FC"/>
    <w:rsid w:val="00F127BC"/>
    <w:rsid w:val="00F24545"/>
    <w:rsid w:val="00F258DB"/>
    <w:rsid w:val="00F35FBC"/>
    <w:rsid w:val="00F46159"/>
    <w:rsid w:val="00F5373D"/>
    <w:rsid w:val="00F624BD"/>
    <w:rsid w:val="00F75181"/>
    <w:rsid w:val="00F96DE8"/>
    <w:rsid w:val="00F97FF0"/>
    <w:rsid w:val="00FA03B4"/>
    <w:rsid w:val="00FA0818"/>
    <w:rsid w:val="00FA18A3"/>
    <w:rsid w:val="00FB41FE"/>
    <w:rsid w:val="00FC1D0D"/>
    <w:rsid w:val="00FD1CD5"/>
    <w:rsid w:val="00FE193A"/>
    <w:rsid w:val="00FF7E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12AC"/>
  <w15:chartTrackingRefBased/>
  <w15:docId w15:val="{28362773-57E0-44BF-AD7D-86198237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Main numbered paragraph,Heading II,List bullet,List Paragraph1,Bullet List,FooterText,numbered,Paragraphe de liste1,Bulletr List Paragraph,列出段落,列出段落1,List Paragraph2,List Paragraph21,Párrafo de lista1,リスト段落1,F,L"/>
    <w:basedOn w:val="Normal"/>
    <w:link w:val="ListParagraphChar"/>
    <w:uiPriority w:val="34"/>
    <w:qFormat/>
    <w:rsid w:val="00A029CE"/>
    <w:pPr>
      <w:ind w:left="720"/>
      <w:contextualSpacing/>
    </w:pPr>
  </w:style>
  <w:style w:type="table" w:styleId="LightGrid-Accent1">
    <w:name w:val="Light Grid Accent 1"/>
    <w:basedOn w:val="TableNormal"/>
    <w:uiPriority w:val="62"/>
    <w:rsid w:val="00941B3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A50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610"/>
    <w:rPr>
      <w:rFonts w:ascii="Segoe UI" w:hAnsi="Segoe UI" w:cs="Segoe UI"/>
      <w:sz w:val="18"/>
      <w:szCs w:val="18"/>
    </w:rPr>
  </w:style>
  <w:style w:type="paragraph" w:styleId="Revision">
    <w:name w:val="Revision"/>
    <w:hidden/>
    <w:uiPriority w:val="99"/>
    <w:semiHidden/>
    <w:rsid w:val="004B4F9F"/>
    <w:pPr>
      <w:spacing w:after="0" w:line="240" w:lineRule="auto"/>
    </w:pPr>
  </w:style>
  <w:style w:type="character" w:styleId="CommentReference">
    <w:name w:val="annotation reference"/>
    <w:basedOn w:val="DefaultParagraphFont"/>
    <w:uiPriority w:val="99"/>
    <w:semiHidden/>
    <w:unhideWhenUsed/>
    <w:rsid w:val="00EF1C2D"/>
    <w:rPr>
      <w:sz w:val="16"/>
      <w:szCs w:val="16"/>
    </w:rPr>
  </w:style>
  <w:style w:type="paragraph" w:styleId="CommentText">
    <w:name w:val="annotation text"/>
    <w:basedOn w:val="Normal"/>
    <w:link w:val="CommentTextChar"/>
    <w:uiPriority w:val="99"/>
    <w:semiHidden/>
    <w:unhideWhenUsed/>
    <w:rsid w:val="00EF1C2D"/>
    <w:pPr>
      <w:spacing w:line="240" w:lineRule="auto"/>
    </w:pPr>
    <w:rPr>
      <w:sz w:val="20"/>
      <w:szCs w:val="20"/>
    </w:rPr>
  </w:style>
  <w:style w:type="character" w:customStyle="1" w:styleId="CommentTextChar">
    <w:name w:val="Comment Text Char"/>
    <w:basedOn w:val="DefaultParagraphFont"/>
    <w:link w:val="CommentText"/>
    <w:uiPriority w:val="99"/>
    <w:semiHidden/>
    <w:rsid w:val="00EF1C2D"/>
    <w:rPr>
      <w:sz w:val="20"/>
      <w:szCs w:val="20"/>
    </w:rPr>
  </w:style>
  <w:style w:type="paragraph" w:styleId="CommentSubject">
    <w:name w:val="annotation subject"/>
    <w:basedOn w:val="CommentText"/>
    <w:next w:val="CommentText"/>
    <w:link w:val="CommentSubjectChar"/>
    <w:uiPriority w:val="99"/>
    <w:semiHidden/>
    <w:unhideWhenUsed/>
    <w:rsid w:val="00EF1C2D"/>
    <w:rPr>
      <w:b/>
      <w:bCs/>
    </w:rPr>
  </w:style>
  <w:style w:type="character" w:customStyle="1" w:styleId="CommentSubjectChar">
    <w:name w:val="Comment Subject Char"/>
    <w:basedOn w:val="CommentTextChar"/>
    <w:link w:val="CommentSubject"/>
    <w:uiPriority w:val="99"/>
    <w:semiHidden/>
    <w:rsid w:val="00EF1C2D"/>
    <w:rPr>
      <w:b/>
      <w:bCs/>
      <w:sz w:val="20"/>
      <w:szCs w:val="20"/>
    </w:rPr>
  </w:style>
  <w:style w:type="paragraph" w:styleId="Header">
    <w:name w:val="header"/>
    <w:basedOn w:val="Normal"/>
    <w:link w:val="HeaderChar"/>
    <w:uiPriority w:val="99"/>
    <w:unhideWhenUsed/>
    <w:rsid w:val="00A14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D83"/>
  </w:style>
  <w:style w:type="paragraph" w:styleId="Footer">
    <w:name w:val="footer"/>
    <w:basedOn w:val="Normal"/>
    <w:link w:val="FooterChar"/>
    <w:uiPriority w:val="99"/>
    <w:unhideWhenUsed/>
    <w:rsid w:val="00A14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D83"/>
  </w:style>
  <w:style w:type="character" w:customStyle="1" w:styleId="ListParagraphChar">
    <w:name w:val="List Paragraph Char"/>
    <w:aliases w:val="Numbered List Paragraph Char,Main numbered paragraph Char,Heading II Char,List bullet Char,List Paragraph1 Char,Bullet List Char,FooterText Char,numbered Char,Paragraphe de liste1 Char,Bulletr List Paragraph Char,列出段落 Char,列出段落1 Char"/>
    <w:link w:val="ListParagraph"/>
    <w:uiPriority w:val="34"/>
    <w:qFormat/>
    <w:locked/>
    <w:rsid w:val="000D24E8"/>
  </w:style>
  <w:style w:type="character" w:styleId="Hyperlink">
    <w:name w:val="Hyperlink"/>
    <w:basedOn w:val="DefaultParagraphFont"/>
    <w:uiPriority w:val="99"/>
    <w:unhideWhenUsed/>
    <w:rsid w:val="000F6EC8"/>
    <w:rPr>
      <w:color w:val="0000FF" w:themeColor="hyperlink"/>
      <w:u w:val="single"/>
    </w:rPr>
  </w:style>
  <w:style w:type="character" w:styleId="UnresolvedMention">
    <w:name w:val="Unresolved Mention"/>
    <w:basedOn w:val="DefaultParagraphFont"/>
    <w:uiPriority w:val="99"/>
    <w:semiHidden/>
    <w:unhideWhenUsed/>
    <w:rsid w:val="00DC4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idbz.co.z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machanzi@idbz.co.zw" TargetMode="External"/><Relationship Id="rId4" Type="http://schemas.openxmlformats.org/officeDocument/2006/relationships/settings" Target="settings.xml"/><Relationship Id="rId9" Type="http://schemas.openxmlformats.org/officeDocument/2006/relationships/hyperlink" Target="mailto:sshekede@idbz.co.zw"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42DD1-9746-4A77-B27D-5F37B049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kgeyi</dc:creator>
  <cp:keywords/>
  <dc:description/>
  <cp:lastModifiedBy>Shekede Sylivia</cp:lastModifiedBy>
  <cp:revision>5</cp:revision>
  <cp:lastPrinted>2018-09-28T08:14:00Z</cp:lastPrinted>
  <dcterms:created xsi:type="dcterms:W3CDTF">2020-06-03T06:24:00Z</dcterms:created>
  <dcterms:modified xsi:type="dcterms:W3CDTF">2020-06-09T12:24:00Z</dcterms:modified>
</cp:coreProperties>
</file>